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BB" w:rsidRDefault="00B755AC" w:rsidP="00B755AC">
      <w:pPr>
        <w:jc w:val="center"/>
        <w:rPr>
          <w:rFonts w:asciiTheme="minorHAnsi" w:hAnsiTheme="minorHAnsi"/>
          <w:sz w:val="28"/>
        </w:rPr>
      </w:pPr>
      <w:r w:rsidRPr="00B755AC">
        <w:rPr>
          <w:rFonts w:asciiTheme="minorHAnsi" w:hAnsiTheme="minorHAnsi"/>
          <w:sz w:val="28"/>
        </w:rPr>
        <w:t>Proposition</w:t>
      </w:r>
      <w:r w:rsidR="007E02BB">
        <w:rPr>
          <w:rFonts w:asciiTheme="minorHAnsi" w:hAnsiTheme="minorHAnsi"/>
          <w:sz w:val="28"/>
        </w:rPr>
        <w:t xml:space="preserve"> de mise en OPENDATA de données</w:t>
      </w:r>
    </w:p>
    <w:p w:rsidR="002F3BBB" w:rsidRDefault="002F3BBB" w:rsidP="00B755AC">
      <w:pPr>
        <w:jc w:val="center"/>
        <w:rPr>
          <w:rFonts w:asciiTheme="minorHAnsi" w:hAnsiTheme="minorHAnsi"/>
          <w:sz w:val="28"/>
        </w:rPr>
      </w:pPr>
    </w:p>
    <w:p w:rsidR="002F3BBB" w:rsidRDefault="002F3BBB" w:rsidP="00B755AC">
      <w:pPr>
        <w:jc w:val="center"/>
        <w:rPr>
          <w:rFonts w:asciiTheme="minorHAnsi" w:hAnsiTheme="minorHAnsi"/>
          <w:sz w:val="28"/>
        </w:rPr>
      </w:pPr>
    </w:p>
    <w:p w:rsidR="00C5162E" w:rsidRPr="00D33DB3" w:rsidRDefault="00C5162E" w:rsidP="00B755AC">
      <w:pPr>
        <w:jc w:val="both"/>
        <w:rPr>
          <w:rFonts w:asciiTheme="minorHAnsi" w:hAnsiTheme="minorHAnsi"/>
          <w:b/>
          <w:u w:val="single"/>
        </w:rPr>
      </w:pPr>
      <w:r w:rsidRPr="00D33DB3">
        <w:rPr>
          <w:rFonts w:asciiTheme="minorHAnsi" w:hAnsiTheme="minorHAnsi"/>
          <w:b/>
          <w:u w:val="single"/>
        </w:rPr>
        <w:t>Le contexte réglementaire</w:t>
      </w:r>
    </w:p>
    <w:p w:rsidR="00C5162E" w:rsidRDefault="00C5162E" w:rsidP="00B755AC">
      <w:pPr>
        <w:jc w:val="both"/>
        <w:rPr>
          <w:rFonts w:asciiTheme="minorHAnsi" w:hAnsiTheme="minorHAnsi"/>
        </w:rPr>
      </w:pPr>
    </w:p>
    <w:p w:rsidR="00110ED3" w:rsidRPr="00C5162E" w:rsidRDefault="00316E39" w:rsidP="00C5162E">
      <w:pPr>
        <w:pStyle w:val="Paragraphedeliste"/>
        <w:numPr>
          <w:ilvl w:val="0"/>
          <w:numId w:val="2"/>
        </w:numPr>
        <w:jc w:val="both"/>
        <w:rPr>
          <w:rFonts w:asciiTheme="minorHAnsi" w:hAnsiTheme="minorHAnsi"/>
        </w:rPr>
      </w:pPr>
      <w:r w:rsidRPr="00C5162E">
        <w:rPr>
          <w:rFonts w:asciiTheme="minorHAnsi" w:hAnsiTheme="minorHAnsi"/>
        </w:rPr>
        <w:t>La loi numérique de 2016 a mis en place l’ouverture par défaut des données des administrations publiques.</w:t>
      </w:r>
    </w:p>
    <w:p w:rsidR="00316E39" w:rsidRDefault="00316E39" w:rsidP="00B755AC">
      <w:pPr>
        <w:jc w:val="both"/>
        <w:rPr>
          <w:rFonts w:asciiTheme="minorHAnsi" w:hAnsiTheme="minorHAnsi"/>
        </w:rPr>
      </w:pPr>
    </w:p>
    <w:p w:rsidR="00C5162E" w:rsidRPr="00540573" w:rsidRDefault="00C5162E" w:rsidP="00C5162E">
      <w:pPr>
        <w:pStyle w:val="Titre3"/>
        <w:spacing w:before="0"/>
        <w:rPr>
          <w:b/>
          <w:sz w:val="20"/>
          <w:szCs w:val="20"/>
        </w:rPr>
      </w:pPr>
      <w:r w:rsidRPr="00172EBF">
        <w:t xml:space="preserve">Synthèse du contenu du texte </w:t>
      </w:r>
      <w:r w:rsidRPr="0051402E">
        <w:rPr>
          <w:b/>
        </w:rPr>
        <w:t>Loi pour une République numérique</w:t>
      </w:r>
      <w:r w:rsidRPr="00172EBF">
        <w:t xml:space="preserve"> </w:t>
      </w:r>
      <w:r w:rsidRPr="00540573">
        <w:rPr>
          <w:sz w:val="20"/>
          <w:szCs w:val="20"/>
        </w:rPr>
        <w:t>(L</w:t>
      </w:r>
      <w:r w:rsidRPr="00540573">
        <w:rPr>
          <w:rStyle w:val="lev"/>
          <w:sz w:val="20"/>
          <w:szCs w:val="20"/>
        </w:rPr>
        <w:t>OI n° 2016-1321 du 7 octobre 2016 pour une République numérique)</w:t>
      </w:r>
    </w:p>
    <w:p w:rsidR="00C5162E" w:rsidRPr="00172EBF" w:rsidRDefault="00C5162E" w:rsidP="00C5162E"/>
    <w:p w:rsidR="00C5162E" w:rsidRDefault="00C5162E" w:rsidP="00C5162E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« L</w:t>
      </w:r>
      <w:r w:rsidRPr="005E2F7C">
        <w:rPr>
          <w:rFonts w:ascii="Calibri" w:hAnsi="Calibri" w:cs="Arial"/>
        </w:rPr>
        <w:t xml:space="preserve">a loi sur la République numérique rend obligatoire la mise à disposition des données publiques communicables. L’idée est de passer d’une logique de demande d’accès par des personnes privées à une </w:t>
      </w:r>
      <w:r w:rsidRPr="00EF06D2">
        <w:rPr>
          <w:rFonts w:ascii="Calibri" w:hAnsi="Calibri" w:cs="Arial"/>
          <w:u w:val="single"/>
        </w:rPr>
        <w:t>logique d’offre</w:t>
      </w:r>
      <w:r w:rsidRPr="005E2F7C">
        <w:rPr>
          <w:rFonts w:ascii="Calibri" w:hAnsi="Calibri" w:cs="Arial"/>
        </w:rPr>
        <w:t>.</w:t>
      </w:r>
      <w:r>
        <w:rPr>
          <w:rFonts w:ascii="Calibri" w:hAnsi="Calibri" w:cs="Arial"/>
        </w:rPr>
        <w:t> »</w:t>
      </w:r>
    </w:p>
    <w:p w:rsidR="00C5162E" w:rsidRDefault="00C5162E" w:rsidP="00C5162E">
      <w:pPr>
        <w:jc w:val="both"/>
        <w:rPr>
          <w:rFonts w:ascii="Calibri" w:hAnsi="Calibri" w:cs="Arial"/>
        </w:rPr>
      </w:pPr>
    </w:p>
    <w:p w:rsidR="00C5162E" w:rsidRPr="004720E6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u w:val="single"/>
        </w:rPr>
      </w:pPr>
      <w:r w:rsidRPr="004720E6">
        <w:rPr>
          <w:rFonts w:ascii="Calibri" w:hAnsi="Calibri" w:cs="Arial"/>
          <w:u w:val="single"/>
        </w:rPr>
        <w:t>Extrait de la loi :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 xml:space="preserve">« Sous réserve des articles L. 311-5 et L. 311-6 et lorsque ces documents sont disponibles sous forme électronique, les administrations mentionnées au premier alinéa de l’article L. 300-2, à l’exception des personnes morales dont le nombre d’agents ou de salariés est inférieur à un seuil qui ne peut être supérieur à cinquante agents ou salariés, fixé par décret, publient en ligne, dans un standard ouvert aisément réutilisable, c’est-à-dire lisible par une machine, les documents administratifs suivants : 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>1° Les documents qu’elles communiquent en application des procédures prévues au présent titre, ainsi que leurs versions mises à jour ;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>2° Les documents qui figurent dans le répertoire mentionné à l’article 17 de la loi n° 78-753 du 17 juillet 1978 portant diverses mesures d’amélioration des relations entre l’administration et le public et diverses dispositions d’ordre administratif, social et fiscal ;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 xml:space="preserve">3° </w:t>
      </w:r>
      <w:r w:rsidRPr="003039FB">
        <w:rPr>
          <w:rFonts w:ascii="Calibri" w:hAnsi="Calibri" w:cs="Arial"/>
          <w:b/>
          <w:i/>
          <w:u w:val="single"/>
        </w:rPr>
        <w:t>Les bases de données</w:t>
      </w:r>
      <w:r w:rsidRPr="00172EBF">
        <w:rPr>
          <w:rFonts w:ascii="Calibri" w:hAnsi="Calibri" w:cs="Arial"/>
          <w:i/>
        </w:rPr>
        <w:t xml:space="preserve">, mises à jour de façon régulière, </w:t>
      </w:r>
      <w:r w:rsidRPr="003039FB">
        <w:rPr>
          <w:rFonts w:ascii="Calibri" w:hAnsi="Calibri" w:cs="Arial"/>
          <w:b/>
          <w:i/>
          <w:u w:val="single"/>
        </w:rPr>
        <w:t>qu’elles produisent ou qu’elles reçoivent</w:t>
      </w:r>
      <w:r w:rsidRPr="00172EBF">
        <w:rPr>
          <w:rFonts w:ascii="Calibri" w:hAnsi="Calibri" w:cs="Arial"/>
          <w:i/>
        </w:rPr>
        <w:t xml:space="preserve"> et qui ne font pas l’objet, par ailleurs, d’une diffusion publique </w:t>
      </w:r>
      <w:r w:rsidRPr="003039FB">
        <w:rPr>
          <w:rFonts w:ascii="Calibri" w:hAnsi="Calibri" w:cs="Arial"/>
          <w:b/>
          <w:i/>
          <w:u w:val="single"/>
        </w:rPr>
        <w:t>dans un standard ouvert aisément réutilisable</w:t>
      </w:r>
      <w:r w:rsidRPr="00172EBF">
        <w:rPr>
          <w:rFonts w:ascii="Calibri" w:hAnsi="Calibri" w:cs="Arial"/>
          <w:i/>
        </w:rPr>
        <w:t>, c’est-à-dire lisible par une machine ;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 xml:space="preserve">4° Les données, mises à jour de façon régulière, dont la publication présente un intérêt économique, social, sanitaire ou environnemental. </w:t>
      </w:r>
    </w:p>
    <w:p w:rsidR="00C5162E" w:rsidRPr="00172EBF" w:rsidRDefault="00C5162E" w:rsidP="00C51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i/>
        </w:rPr>
      </w:pPr>
      <w:r w:rsidRPr="00172EBF">
        <w:rPr>
          <w:rFonts w:ascii="Calibri" w:hAnsi="Calibri" w:cs="Arial"/>
          <w:i/>
        </w:rPr>
        <w:t>Le présent article ne s’applique pas aux collectivités</w:t>
      </w:r>
      <w:r w:rsidRPr="00172EBF">
        <w:rPr>
          <w:rFonts w:ascii="Arial" w:hAnsi="Arial" w:cs="Arial"/>
          <w:i/>
          <w:sz w:val="30"/>
          <w:szCs w:val="30"/>
        </w:rPr>
        <w:t xml:space="preserve"> </w:t>
      </w:r>
      <w:r w:rsidRPr="00172EBF">
        <w:rPr>
          <w:rFonts w:ascii="Calibri" w:hAnsi="Calibri" w:cs="Arial"/>
          <w:i/>
        </w:rPr>
        <w:t>territoriales de moins de 3 500 habitants.”</w:t>
      </w:r>
    </w:p>
    <w:p w:rsidR="00C5162E" w:rsidRDefault="00C5162E" w:rsidP="00B755AC">
      <w:pPr>
        <w:jc w:val="both"/>
        <w:rPr>
          <w:rFonts w:asciiTheme="minorHAnsi" w:hAnsiTheme="minorHAnsi"/>
        </w:rPr>
      </w:pPr>
    </w:p>
    <w:p w:rsidR="00C5162E" w:rsidRPr="00C5162E" w:rsidRDefault="00C5162E" w:rsidP="00C5162E">
      <w:pPr>
        <w:pStyle w:val="Paragraphedeliste"/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La </w:t>
      </w:r>
      <w:r w:rsidRPr="00C5162E">
        <w:rPr>
          <w:rFonts w:ascii="Calibri" w:hAnsi="Calibri" w:cs="Arial"/>
        </w:rPr>
        <w:t>Directive Européenne Inspire</w:t>
      </w:r>
    </w:p>
    <w:p w:rsidR="00C5162E" w:rsidRDefault="00C5162E" w:rsidP="00C5162E">
      <w:pPr>
        <w:rPr>
          <w:rFonts w:ascii="Calibri" w:hAnsi="Calibri" w:cs="Arial"/>
        </w:rPr>
      </w:pPr>
    </w:p>
    <w:p w:rsidR="007E02BB" w:rsidRPr="007E02BB" w:rsidRDefault="007E02BB" w:rsidP="00C5162E">
      <w:pPr>
        <w:rPr>
          <w:rFonts w:asciiTheme="minorHAnsi" w:hAnsiTheme="minorHAnsi"/>
        </w:rPr>
      </w:pPr>
      <w:r w:rsidRPr="007E02BB">
        <w:rPr>
          <w:rFonts w:asciiTheme="minorHAnsi" w:hAnsiTheme="minorHAnsi"/>
          <w:bCs/>
        </w:rPr>
        <w:t>La directive INSPIRE, élaborée par la Direction générale de l’environnement de la Commission européenne, vise à établir en Europe une infrastructure de données géographiques pour assurer l’interopérabilité entre bases de données et faciliter la diffusion, la disponibilité, l’utilisation et la réutilisation de l’information géographique en Europe.</w:t>
      </w:r>
    </w:p>
    <w:p w:rsidR="007E02BB" w:rsidRDefault="007E02BB" w:rsidP="00C5162E">
      <w:pPr>
        <w:rPr>
          <w:rFonts w:ascii="Calibri" w:hAnsi="Calibri" w:cs="Arial"/>
        </w:rPr>
      </w:pPr>
    </w:p>
    <w:p w:rsidR="00C5162E" w:rsidRDefault="00C5162E" w:rsidP="00C5162E">
      <w:pPr>
        <w:rPr>
          <w:rFonts w:asciiTheme="majorHAnsi" w:eastAsiaTheme="majorEastAsia" w:hAnsiTheme="majorHAnsi" w:cstheme="majorBidi"/>
          <w:spacing w:val="-10"/>
          <w:kern w:val="28"/>
          <w:sz w:val="40"/>
          <w:szCs w:val="40"/>
        </w:rPr>
      </w:pPr>
      <w:r w:rsidRPr="00935B1B">
        <w:rPr>
          <w:rFonts w:ascii="Calibri" w:hAnsi="Calibri" w:cs="Arial"/>
        </w:rPr>
        <w:t>L</w:t>
      </w:r>
      <w:r w:rsidR="00015AC0">
        <w:rPr>
          <w:rFonts w:ascii="Calibri" w:hAnsi="Calibri" w:cs="Arial"/>
        </w:rPr>
        <w:t>a donnée</w:t>
      </w:r>
      <w:r w:rsidRPr="00935B1B">
        <w:rPr>
          <w:rFonts w:ascii="Calibri" w:hAnsi="Calibri" w:cs="Arial"/>
        </w:rPr>
        <w:t xml:space="preserve"> PEI</w:t>
      </w:r>
      <w:r w:rsidR="007E02BB">
        <w:rPr>
          <w:rFonts w:ascii="Calibri" w:hAnsi="Calibri" w:cs="Arial"/>
        </w:rPr>
        <w:t xml:space="preserve"> </w:t>
      </w:r>
      <w:r w:rsidRPr="00935B1B">
        <w:rPr>
          <w:rFonts w:ascii="Calibri" w:hAnsi="Calibri" w:cs="Arial"/>
        </w:rPr>
        <w:t>est concernée par le thème</w:t>
      </w:r>
      <w:r>
        <w:rPr>
          <w:rFonts w:ascii="Calibri" w:hAnsi="Calibri"/>
          <w:color w:val="1F497D"/>
        </w:rPr>
        <w:t xml:space="preserve"> : </w:t>
      </w:r>
      <w:hyperlink r:id="rId7" w:history="1">
        <w:r w:rsidRPr="00EF06D2">
          <w:rPr>
            <w:rStyle w:val="Lienhypertexte"/>
            <w:rFonts w:ascii="Calibri" w:hAnsi="Calibri"/>
            <w:color w:val="auto"/>
          </w:rPr>
          <w:t>Services d'utilité publique et services publics</w:t>
        </w:r>
      </w:hyperlink>
    </w:p>
    <w:p w:rsidR="00C5162E" w:rsidRDefault="00C5162E" w:rsidP="00C5162E">
      <w:pPr>
        <w:jc w:val="both"/>
        <w:rPr>
          <w:rFonts w:asciiTheme="minorHAnsi" w:hAnsiTheme="minorHAnsi"/>
        </w:rPr>
      </w:pPr>
    </w:p>
    <w:p w:rsidR="00C5162E" w:rsidRPr="00D33DB3" w:rsidRDefault="00C5162E" w:rsidP="00C5162E">
      <w:pPr>
        <w:jc w:val="both"/>
        <w:rPr>
          <w:rFonts w:asciiTheme="minorHAnsi" w:hAnsiTheme="minorHAnsi"/>
          <w:b/>
          <w:u w:val="single"/>
        </w:rPr>
      </w:pPr>
      <w:r w:rsidRPr="00D33DB3">
        <w:rPr>
          <w:rFonts w:asciiTheme="minorHAnsi" w:hAnsiTheme="minorHAnsi"/>
          <w:b/>
          <w:u w:val="single"/>
        </w:rPr>
        <w:t>Le contexte local</w:t>
      </w:r>
    </w:p>
    <w:p w:rsidR="00C5162E" w:rsidRDefault="00C5162E" w:rsidP="00B755AC">
      <w:pPr>
        <w:jc w:val="both"/>
        <w:rPr>
          <w:rFonts w:asciiTheme="minorHAnsi" w:hAnsiTheme="minorHAnsi"/>
        </w:rPr>
      </w:pPr>
    </w:p>
    <w:p w:rsidR="001F42DF" w:rsidRPr="00EA50C1" w:rsidRDefault="001F42DF" w:rsidP="00B755A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S.D.I.S.71 est fréquemment sollicité pour la fourniture totale ou partielle de ses bases de données Points d’Eau Incendie (PEI) et Etabliss</w:t>
      </w:r>
      <w:r w:rsidR="00AD6E49">
        <w:rPr>
          <w:rFonts w:asciiTheme="minorHAnsi" w:hAnsiTheme="minorHAnsi"/>
        </w:rPr>
        <w:t>ements Recevant du Public (ERP</w:t>
      </w:r>
      <w:r w:rsidR="00AD6E49" w:rsidRPr="00EA50C1">
        <w:rPr>
          <w:rFonts w:asciiTheme="minorHAnsi" w:hAnsiTheme="minorHAnsi"/>
        </w:rPr>
        <w:t>), par des organismes publics ou privés.</w:t>
      </w:r>
    </w:p>
    <w:p w:rsidR="001F42DF" w:rsidRPr="00EA50C1" w:rsidRDefault="001F42DF" w:rsidP="00B755AC">
      <w:pPr>
        <w:jc w:val="both"/>
        <w:rPr>
          <w:rFonts w:asciiTheme="minorHAnsi" w:hAnsiTheme="minorHAnsi"/>
        </w:rPr>
      </w:pPr>
    </w:p>
    <w:p w:rsidR="00BC03EF" w:rsidRPr="00EA50C1" w:rsidRDefault="00BC03EF" w:rsidP="00B755AC">
      <w:pPr>
        <w:jc w:val="both"/>
        <w:rPr>
          <w:rFonts w:asciiTheme="minorHAnsi" w:hAnsiTheme="minorHAnsi"/>
          <w:u w:val="single"/>
        </w:rPr>
      </w:pPr>
      <w:r w:rsidRPr="00EA50C1">
        <w:rPr>
          <w:rFonts w:asciiTheme="minorHAnsi" w:hAnsiTheme="minorHAnsi"/>
          <w:u w:val="single"/>
        </w:rPr>
        <w:t>L’initiative des Maires de Côte-d’Or</w:t>
      </w:r>
    </w:p>
    <w:p w:rsidR="00BC03EF" w:rsidRPr="00EA50C1" w:rsidRDefault="00BC03EF" w:rsidP="00B755AC">
      <w:p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>Dès la sortie du RDDECI, les maires de Côte-d’Or ont demandé l’appui d’IdéoBFC et Territoire Numérique afin de leur fournir des outils pour les aider à mener à bien leurs obligations concernant l’arrêté dans un premier temps puis la mise en place d’un possible SCDECI. Cette demande a été appuyée par le SDIS21 qui ne possède pas actuellement d’outil de partage de sa base de données des PEI.</w:t>
      </w:r>
    </w:p>
    <w:p w:rsidR="00BC03EF" w:rsidRPr="00EA50C1" w:rsidRDefault="00BC03EF" w:rsidP="00B755AC">
      <w:pPr>
        <w:jc w:val="both"/>
        <w:rPr>
          <w:rFonts w:asciiTheme="minorHAnsi" w:hAnsiTheme="minorHAnsi"/>
        </w:rPr>
      </w:pPr>
      <w:proofErr w:type="spellStart"/>
      <w:r w:rsidRPr="00EA50C1">
        <w:rPr>
          <w:rFonts w:asciiTheme="minorHAnsi" w:hAnsiTheme="minorHAnsi"/>
        </w:rPr>
        <w:t>CMaCarte</w:t>
      </w:r>
      <w:proofErr w:type="spellEnd"/>
      <w:r w:rsidRPr="00EA50C1">
        <w:rPr>
          <w:rFonts w:asciiTheme="minorHAnsi" w:hAnsiTheme="minorHAnsi"/>
        </w:rPr>
        <w:t xml:space="preserve"> a ainsi été développé par la société </w:t>
      </w:r>
      <w:proofErr w:type="spellStart"/>
      <w:r w:rsidRPr="00EA50C1">
        <w:rPr>
          <w:rFonts w:asciiTheme="minorHAnsi" w:hAnsiTheme="minorHAnsi"/>
        </w:rPr>
        <w:t>Magellium</w:t>
      </w:r>
      <w:proofErr w:type="spellEnd"/>
      <w:r w:rsidRPr="00EA50C1">
        <w:rPr>
          <w:rFonts w:asciiTheme="minorHAnsi" w:hAnsiTheme="minorHAnsi"/>
        </w:rPr>
        <w:t xml:space="preserve">. L’outil permet une visualisation cartographique des données PEI, ERP et ICPE sur le territoire de chaque commune, la génération automatique d’un arrêté communal au format SDIS21, et l’aide à la réalisation d’un SCDECI. En précision complémentaire il est à noter que cet outil </w:t>
      </w:r>
      <w:r w:rsidRPr="00EA50C1">
        <w:rPr>
          <w:rFonts w:asciiTheme="minorHAnsi" w:hAnsiTheme="minorHAnsi"/>
        </w:rPr>
        <w:lastRenderedPageBreak/>
        <w:t>n’est accessible qu’aux seules communes adhérentes à Territoire Numérique et est soumis à l’obtention de codes d’accès.</w:t>
      </w:r>
    </w:p>
    <w:p w:rsidR="00BC03EF" w:rsidRPr="00EA50C1" w:rsidRDefault="00BC03EF" w:rsidP="00B755AC">
      <w:p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>Le contexte de la Saône-et-Loire est différent car le S.D.I.S.71 met ses données PEI à disposition des maires via REMOcRA. Cependant, conformément au RDDECI, le S.D.I.S.71 ne peut pas prendre part à la réalisation des SCDECI. De ce fait, l’initiative des maires de Côte-d’Or pourrait être transposée au 71 en ce qui concerne l’outil d’aide à la réalisation des SCDECI.</w:t>
      </w:r>
    </w:p>
    <w:p w:rsidR="00BC03EF" w:rsidRPr="00EA50C1" w:rsidRDefault="00BC03EF" w:rsidP="00BC03EF">
      <w:p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>Dans cet objectif, IdéoBFC et Territoire Numérique souhaitent pouvoir utiliser les données PEI et ERP du S.D.I.S.71.</w:t>
      </w:r>
      <w:r w:rsidR="00AD6E49" w:rsidRPr="00EA50C1">
        <w:rPr>
          <w:rFonts w:asciiTheme="minorHAnsi" w:hAnsiTheme="minorHAnsi"/>
        </w:rPr>
        <w:t xml:space="preserve"> </w:t>
      </w:r>
      <w:r w:rsidRPr="00EA50C1">
        <w:rPr>
          <w:rFonts w:asciiTheme="minorHAnsi" w:hAnsiTheme="minorHAnsi"/>
        </w:rPr>
        <w:t>IdéoBFC, pour le compte de Territoire Numérique, a déjà sollicité plusieurs fois le S.D.I.S.71 pour mettre à disposition sur son site les bases PEI et ERP. De même une demande a été faite à la préfecture de Saône-et-Loire afin de disposer de la base ERP, sans réponse.</w:t>
      </w:r>
    </w:p>
    <w:p w:rsidR="00BC03EF" w:rsidRPr="00EA50C1" w:rsidRDefault="00BC03EF" w:rsidP="00BC03EF">
      <w:p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>Il est important que le S.D.I.S.71 puisse prendre part au possible déploiement de cet outil dans un double objectif :</w:t>
      </w:r>
    </w:p>
    <w:p w:rsidR="00BC03EF" w:rsidRPr="00EA50C1" w:rsidRDefault="00BC03EF" w:rsidP="00BC03EF">
      <w:pPr>
        <w:pStyle w:val="Paragraphedeliste"/>
        <w:numPr>
          <w:ilvl w:val="0"/>
          <w:numId w:val="1"/>
        </w:num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>S’assurer que les algorithmes utilisés pour les cal</w:t>
      </w:r>
      <w:r w:rsidR="00477D9C" w:rsidRPr="00EA50C1">
        <w:rPr>
          <w:rFonts w:asciiTheme="minorHAnsi" w:hAnsiTheme="minorHAnsi"/>
        </w:rPr>
        <w:t>culs</w:t>
      </w:r>
      <w:r w:rsidRPr="00EA50C1">
        <w:rPr>
          <w:rFonts w:asciiTheme="minorHAnsi" w:hAnsiTheme="minorHAnsi"/>
        </w:rPr>
        <w:t xml:space="preserve"> correspondent bien aux valeurs du RDDECI du 71</w:t>
      </w:r>
    </w:p>
    <w:p w:rsidR="00BC03EF" w:rsidRPr="00EA50C1" w:rsidRDefault="00BC03EF" w:rsidP="00BC03EF">
      <w:pPr>
        <w:pStyle w:val="Paragraphedeliste"/>
        <w:numPr>
          <w:ilvl w:val="0"/>
          <w:numId w:val="1"/>
        </w:numPr>
        <w:jc w:val="both"/>
        <w:rPr>
          <w:rFonts w:asciiTheme="minorHAnsi" w:hAnsiTheme="minorHAnsi"/>
        </w:rPr>
      </w:pPr>
      <w:r w:rsidRPr="00EA50C1">
        <w:rPr>
          <w:rFonts w:asciiTheme="minorHAnsi" w:hAnsiTheme="minorHAnsi"/>
        </w:rPr>
        <w:t xml:space="preserve">S’assurer que </w:t>
      </w:r>
      <w:r w:rsidR="00AD6E49" w:rsidRPr="00EA50C1">
        <w:rPr>
          <w:rFonts w:asciiTheme="minorHAnsi" w:hAnsiTheme="minorHAnsi"/>
        </w:rPr>
        <w:t xml:space="preserve">les fonctionnalités de </w:t>
      </w:r>
      <w:r w:rsidRPr="00EA50C1">
        <w:rPr>
          <w:rFonts w:asciiTheme="minorHAnsi" w:hAnsiTheme="minorHAnsi"/>
        </w:rPr>
        <w:t>cet outil n’entre pas</w:t>
      </w:r>
      <w:r w:rsidR="00AD6E49" w:rsidRPr="00EA50C1">
        <w:rPr>
          <w:rFonts w:asciiTheme="minorHAnsi" w:hAnsiTheme="minorHAnsi"/>
        </w:rPr>
        <w:t xml:space="preserve"> en conflit avec celles de REMOcRA et ainsi éviter d’amener de la confusion dans l’esprit des maires. </w:t>
      </w:r>
      <w:r w:rsidR="00015AC0" w:rsidRPr="00015AC0">
        <w:rPr>
          <w:rFonts w:asciiTheme="minorHAnsi" w:hAnsiTheme="minorHAnsi"/>
          <w:b/>
        </w:rPr>
        <w:t xml:space="preserve">REMOcRA </w:t>
      </w:r>
      <w:r w:rsidR="00AD6E49" w:rsidRPr="00015AC0">
        <w:rPr>
          <w:rFonts w:asciiTheme="minorHAnsi" w:hAnsiTheme="minorHAnsi"/>
          <w:b/>
        </w:rPr>
        <w:t>doit rester l’outil de gestion unique de la base départementale PEI en Saône-et-Loire.</w:t>
      </w:r>
    </w:p>
    <w:p w:rsidR="00BC03EF" w:rsidRPr="00EA50C1" w:rsidRDefault="00BC03EF" w:rsidP="00B755AC">
      <w:pPr>
        <w:jc w:val="both"/>
        <w:rPr>
          <w:rFonts w:asciiTheme="minorHAnsi" w:hAnsiTheme="minorHAnsi"/>
        </w:rPr>
      </w:pPr>
    </w:p>
    <w:p w:rsidR="00433CFD" w:rsidRPr="00EA50C1" w:rsidRDefault="00433CFD" w:rsidP="00B755AC">
      <w:pPr>
        <w:jc w:val="both"/>
        <w:rPr>
          <w:rFonts w:asciiTheme="minorHAnsi" w:hAnsiTheme="minorHAnsi"/>
          <w:u w:val="single"/>
        </w:rPr>
      </w:pPr>
      <w:r w:rsidRPr="00EA50C1">
        <w:rPr>
          <w:rFonts w:asciiTheme="minorHAnsi" w:hAnsiTheme="minorHAnsi"/>
          <w:u w:val="single"/>
        </w:rPr>
        <w:t>I. Proposition d’ouverture des données</w:t>
      </w:r>
    </w:p>
    <w:p w:rsidR="00433CFD" w:rsidRDefault="00433CFD" w:rsidP="00B755AC">
      <w:pPr>
        <w:jc w:val="both"/>
        <w:rPr>
          <w:rFonts w:asciiTheme="minorHAnsi" w:hAnsiTheme="minorHAnsi"/>
        </w:rPr>
      </w:pPr>
    </w:p>
    <w:p w:rsidR="00476097" w:rsidRDefault="00476097" w:rsidP="00B755A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L’état et la région mettent à disposition les moyens nécessaires pour diffuser de la donnée :</w:t>
      </w:r>
    </w:p>
    <w:p w:rsidR="007E02BB" w:rsidRPr="00476097" w:rsidRDefault="007E02BB" w:rsidP="00476097">
      <w:pPr>
        <w:pStyle w:val="Paragraphedeliste"/>
        <w:numPr>
          <w:ilvl w:val="0"/>
          <w:numId w:val="1"/>
        </w:numPr>
        <w:jc w:val="both"/>
        <w:rPr>
          <w:rFonts w:asciiTheme="minorHAnsi" w:hAnsiTheme="minorHAnsi"/>
        </w:rPr>
      </w:pPr>
      <w:r w:rsidRPr="00476097">
        <w:rPr>
          <w:rFonts w:asciiTheme="minorHAnsi" w:hAnsiTheme="minorHAnsi"/>
        </w:rPr>
        <w:t>L’état met à disposition le site data.gouv.fr afin de permettre à tous de répondre aux obligations d’Open Data. Les SDIS du Gard, du Tarn, du Loir-et-Cher, de la Charente et d’autres utilisent déjà ce support pour diffuser des données telles que la localisation des centres de secours, les ERP, les points d’eau, les statistiques opérationnelles. A noter que les statistiques opérationnelles du S.D.I.S.71 de 2007 à 2014 y ont été publiées par le Départ</w:t>
      </w:r>
      <w:r w:rsidR="00476097">
        <w:rPr>
          <w:rFonts w:asciiTheme="minorHAnsi" w:hAnsiTheme="minorHAnsi"/>
        </w:rPr>
        <w:t>e</w:t>
      </w:r>
      <w:r w:rsidRPr="00476097">
        <w:rPr>
          <w:rFonts w:asciiTheme="minorHAnsi" w:hAnsiTheme="minorHAnsi"/>
        </w:rPr>
        <w:t>ment.</w:t>
      </w:r>
    </w:p>
    <w:p w:rsidR="005537A6" w:rsidRPr="00476097" w:rsidRDefault="005537A6" w:rsidP="00476097">
      <w:pPr>
        <w:pStyle w:val="Paragraphedeliste"/>
        <w:numPr>
          <w:ilvl w:val="0"/>
          <w:numId w:val="1"/>
        </w:numPr>
        <w:jc w:val="both"/>
        <w:rPr>
          <w:rFonts w:asciiTheme="minorHAnsi" w:hAnsiTheme="minorHAnsi"/>
        </w:rPr>
      </w:pPr>
      <w:r w:rsidRPr="00476097">
        <w:rPr>
          <w:rFonts w:asciiTheme="minorHAnsi" w:hAnsiTheme="minorHAnsi"/>
        </w:rPr>
        <w:t xml:space="preserve">Le S.D.I.S.71 est adhérent à la charte </w:t>
      </w:r>
      <w:r w:rsidRPr="00476097">
        <w:rPr>
          <w:rFonts w:asciiTheme="minorHAnsi" w:hAnsiTheme="minorHAnsi"/>
          <w:b/>
        </w:rPr>
        <w:t>IdéoBFC</w:t>
      </w:r>
      <w:r w:rsidRPr="00476097">
        <w:rPr>
          <w:rFonts w:asciiTheme="minorHAnsi" w:hAnsiTheme="minorHAnsi"/>
        </w:rPr>
        <w:t xml:space="preserve"> (anciennement </w:t>
      </w:r>
      <w:proofErr w:type="spellStart"/>
      <w:r w:rsidRPr="00476097">
        <w:rPr>
          <w:rFonts w:asciiTheme="minorHAnsi" w:hAnsiTheme="minorHAnsi"/>
        </w:rPr>
        <w:t>Géobourgogne</w:t>
      </w:r>
      <w:proofErr w:type="spellEnd"/>
      <w:r w:rsidRPr="00476097">
        <w:rPr>
          <w:rFonts w:asciiTheme="minorHAnsi" w:hAnsiTheme="minorHAnsi"/>
        </w:rPr>
        <w:t xml:space="preserve">), qui propose les services nécessaires afin que les collectivités soient en règle avec la loi numérique (catalogue de métadonnées, visualisation de données, téléchargement de données). </w:t>
      </w:r>
    </w:p>
    <w:p w:rsidR="00476097" w:rsidRDefault="00476097" w:rsidP="00B755AC">
      <w:pPr>
        <w:jc w:val="both"/>
        <w:rPr>
          <w:rFonts w:asciiTheme="minorHAnsi" w:hAnsiTheme="minorHAnsi"/>
        </w:rPr>
      </w:pPr>
    </w:p>
    <w:p w:rsidR="00433CFD" w:rsidRPr="00D239DC" w:rsidRDefault="00433CFD" w:rsidP="00D23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D239DC">
        <w:rPr>
          <w:rFonts w:asciiTheme="minorHAnsi" w:hAnsiTheme="minorHAnsi"/>
          <w:b/>
        </w:rPr>
        <w:t>Il est proposé de mettre à disposition, par le biais d’IdéoBFC, les bases de données</w:t>
      </w:r>
      <w:r w:rsidR="00476097" w:rsidRPr="00D239DC">
        <w:rPr>
          <w:rFonts w:asciiTheme="minorHAnsi" w:hAnsiTheme="minorHAnsi"/>
          <w:b/>
        </w:rPr>
        <w:t xml:space="preserve"> des</w:t>
      </w:r>
      <w:r w:rsidRPr="00D239DC">
        <w:rPr>
          <w:rFonts w:asciiTheme="minorHAnsi" w:hAnsiTheme="minorHAnsi"/>
          <w:b/>
        </w:rPr>
        <w:t xml:space="preserve"> PEI et des ERP gérées par le S.D.I.S.71</w:t>
      </w:r>
      <w:r w:rsidR="0013121C" w:rsidRPr="00D239DC">
        <w:rPr>
          <w:rFonts w:asciiTheme="minorHAnsi" w:hAnsiTheme="minorHAnsi"/>
          <w:b/>
        </w:rPr>
        <w:t>, avec une mise à jour à minima annuelle.</w:t>
      </w:r>
    </w:p>
    <w:p w:rsidR="0013121C" w:rsidRPr="00D239DC" w:rsidRDefault="0013121C" w:rsidP="00D239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</w:rPr>
      </w:pPr>
      <w:r w:rsidRPr="00D239DC">
        <w:rPr>
          <w:rFonts w:asciiTheme="minorHAnsi" w:hAnsiTheme="minorHAnsi"/>
          <w:b/>
        </w:rPr>
        <w:t xml:space="preserve">Cette démarche permet de répondre aux différentes </w:t>
      </w:r>
      <w:r w:rsidR="0092345B" w:rsidRPr="00D239DC">
        <w:rPr>
          <w:rFonts w:asciiTheme="minorHAnsi" w:hAnsiTheme="minorHAnsi"/>
          <w:b/>
        </w:rPr>
        <w:t>demandes actuellement faites au</w:t>
      </w:r>
      <w:r w:rsidRPr="00D239DC">
        <w:rPr>
          <w:rFonts w:asciiTheme="minorHAnsi" w:hAnsiTheme="minorHAnsi"/>
          <w:b/>
        </w:rPr>
        <w:t xml:space="preserve"> </w:t>
      </w:r>
      <w:r w:rsidR="0092345B" w:rsidRPr="00D239DC">
        <w:rPr>
          <w:rFonts w:asciiTheme="minorHAnsi" w:hAnsiTheme="minorHAnsi"/>
          <w:b/>
        </w:rPr>
        <w:t xml:space="preserve">S.D.I.S.71 </w:t>
      </w:r>
      <w:r w:rsidRPr="00D239DC">
        <w:rPr>
          <w:rFonts w:asciiTheme="minorHAnsi" w:hAnsiTheme="minorHAnsi"/>
          <w:b/>
        </w:rPr>
        <w:t>et de pallier les futures demandes.</w:t>
      </w:r>
    </w:p>
    <w:p w:rsidR="005537A6" w:rsidRDefault="005537A6" w:rsidP="00B755A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Les SDIS 90, 21, 39 et 58 ont déjà mis leurs bases de données PEI et ERP accessibles via IdéoBFC.</w:t>
      </w:r>
    </w:p>
    <w:p w:rsidR="00433CFD" w:rsidRDefault="00433CFD" w:rsidP="00B755AC">
      <w:pPr>
        <w:jc w:val="both"/>
        <w:rPr>
          <w:rFonts w:asciiTheme="minorHAnsi" w:hAnsiTheme="minorHAnsi"/>
        </w:rPr>
      </w:pPr>
    </w:p>
    <w:p w:rsidR="00DB139F" w:rsidRPr="00433CFD" w:rsidRDefault="00433CFD" w:rsidP="00B755AC">
      <w:pPr>
        <w:jc w:val="both"/>
        <w:rPr>
          <w:rFonts w:asciiTheme="minorHAnsi" w:hAnsiTheme="minorHAnsi"/>
          <w:u w:val="single"/>
        </w:rPr>
      </w:pPr>
      <w:r w:rsidRPr="00433CFD">
        <w:rPr>
          <w:rFonts w:asciiTheme="minorHAnsi" w:hAnsiTheme="minorHAnsi"/>
          <w:u w:val="single"/>
        </w:rPr>
        <w:t>I</w:t>
      </w:r>
      <w:r w:rsidR="002F3BBB" w:rsidRPr="00433CFD">
        <w:rPr>
          <w:rFonts w:asciiTheme="minorHAnsi" w:hAnsiTheme="minorHAnsi"/>
          <w:u w:val="single"/>
        </w:rPr>
        <w:t xml:space="preserve">I. </w:t>
      </w:r>
      <w:r w:rsidR="00297072" w:rsidRPr="00433CFD">
        <w:rPr>
          <w:rFonts w:asciiTheme="minorHAnsi" w:hAnsiTheme="minorHAnsi"/>
          <w:u w:val="single"/>
        </w:rPr>
        <w:t>Proposition d’un modèle de données pour l’ouv</w:t>
      </w:r>
      <w:r w:rsidR="002F3BBB" w:rsidRPr="00433CFD">
        <w:rPr>
          <w:rFonts w:asciiTheme="minorHAnsi" w:hAnsiTheme="minorHAnsi"/>
          <w:u w:val="single"/>
        </w:rPr>
        <w:t xml:space="preserve">erture des données </w:t>
      </w:r>
    </w:p>
    <w:p w:rsidR="00DB139F" w:rsidRDefault="00DB139F" w:rsidP="00B755AC">
      <w:pPr>
        <w:jc w:val="both"/>
        <w:rPr>
          <w:rFonts w:asciiTheme="minorHAnsi" w:hAnsiTheme="minorHAnsi"/>
        </w:rPr>
      </w:pPr>
    </w:p>
    <w:p w:rsidR="00DB139F" w:rsidRPr="00433CFD" w:rsidRDefault="00DB139F" w:rsidP="00B755AC">
      <w:pPr>
        <w:jc w:val="both"/>
        <w:rPr>
          <w:rFonts w:asciiTheme="minorHAnsi" w:hAnsiTheme="minorHAnsi"/>
          <w:i/>
        </w:rPr>
      </w:pPr>
      <w:r w:rsidRPr="00433CFD">
        <w:rPr>
          <w:rFonts w:asciiTheme="minorHAnsi" w:hAnsiTheme="minorHAnsi"/>
          <w:i/>
        </w:rPr>
        <w:tab/>
      </w:r>
      <w:proofErr w:type="spellStart"/>
      <w:r w:rsidR="00433CFD" w:rsidRPr="00433CFD">
        <w:rPr>
          <w:rFonts w:asciiTheme="minorHAnsi" w:hAnsiTheme="minorHAnsi"/>
          <w:i/>
        </w:rPr>
        <w:t>I</w:t>
      </w:r>
      <w:r w:rsidRPr="00433CFD">
        <w:rPr>
          <w:rFonts w:asciiTheme="minorHAnsi" w:hAnsiTheme="minorHAnsi"/>
          <w:i/>
        </w:rPr>
        <w:t>I.a</w:t>
      </w:r>
      <w:proofErr w:type="spellEnd"/>
      <w:r w:rsidRPr="00433CFD">
        <w:rPr>
          <w:rFonts w:asciiTheme="minorHAnsi" w:hAnsiTheme="minorHAnsi"/>
          <w:i/>
        </w:rPr>
        <w:t xml:space="preserve"> Modèle pour les données PEI</w:t>
      </w:r>
    </w:p>
    <w:p w:rsidR="00DB139F" w:rsidRDefault="00DB139F" w:rsidP="00B755AC">
      <w:pPr>
        <w:jc w:val="both"/>
        <w:rPr>
          <w:rFonts w:asciiTheme="minorHAnsi" w:hAnsiTheme="minorHAnsi"/>
        </w:rPr>
      </w:pPr>
    </w:p>
    <w:p w:rsidR="00B755AC" w:rsidRDefault="001F42DF" w:rsidP="00B755A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Afin de simplifier les échanges entre utilisateurs de données, un modèle minimal a été réfléchi par l’Association Française pour l’Informa</w:t>
      </w:r>
      <w:bookmarkStart w:id="0" w:name="_GoBack"/>
      <w:bookmarkEnd w:id="0"/>
      <w:r>
        <w:rPr>
          <w:rFonts w:asciiTheme="minorHAnsi" w:hAnsiTheme="minorHAnsi"/>
        </w:rPr>
        <w:t>tion Géographique</w:t>
      </w:r>
      <w:r w:rsidR="00174B2A">
        <w:rPr>
          <w:rFonts w:asciiTheme="minorHAnsi" w:hAnsiTheme="minorHAnsi"/>
        </w:rPr>
        <w:t xml:space="preserve"> (AFIGÉO). </w:t>
      </w:r>
      <w:r w:rsidR="00A775BF">
        <w:rPr>
          <w:rFonts w:asciiTheme="minorHAnsi" w:hAnsiTheme="minorHAnsi"/>
        </w:rPr>
        <w:t xml:space="preserve">Le tableau ci-dessous reprend les champs de ce modèle que le S.D.I.S.71 souhaite ouvrir. </w:t>
      </w:r>
    </w:p>
    <w:p w:rsidR="00B755AC" w:rsidRDefault="00B755AC" w:rsidP="00B755AC">
      <w:pPr>
        <w:jc w:val="both"/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6515"/>
      </w:tblGrid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Nom du champ</w:t>
            </w:r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Type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Description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Insee</w:t>
            </w:r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 (5)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Numéro INSEE de la commune sur laquelle le PEI est situé. Dans le cas d’un plan d’eau et des cours d’eau plusieurs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points d’aspiration peuvent y être associés. On prend alors en compte la localisation du point d’aspiration pour</w:t>
            </w:r>
          </w:p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identifier la commune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/>
              </w:rPr>
              <w:t>Id_sdis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Identifiant interne du PEI pour le SDIS (ex : PI MACON 45)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nom_gest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Nom du gestionnaire responsable de distribution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ref_terr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Numéro ou référence du point d’eau visible sur le terrain (ex : 45)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type_pei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Type de point d’eau incendie.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Valeurs possibles : PI, BI, PA, CI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Signification : PI (Poteau d’Incendie), BI (Prise d’eau sous pression, notamment bouche d’incendie), PA (Point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lastRenderedPageBreak/>
              <w:t>d’aspiration aménagé (point de puisage</w:t>
            </w:r>
            <w:r w:rsidRPr="00926951">
              <w:rPr>
                <w:rFonts w:asciiTheme="minorHAnsi" w:hAnsiTheme="minorHAnsi" w:cs="Gautami"/>
                <w:color w:val="303030"/>
              </w:rPr>
              <w:t>…</w:t>
            </w:r>
            <w:r w:rsidRPr="00926951">
              <w:rPr>
                <w:rFonts w:asciiTheme="minorHAnsi" w:hAnsiTheme="minorHAnsi" w:cs="Calibri"/>
                <w:color w:val="303030"/>
              </w:rPr>
              <w:t>)), CI (Citerne aérienne ou enterrée)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Cette typologie est issue du règlement national (p. 39). Si ce dernier évoluait, cette typologie évoluerait en</w:t>
            </w:r>
          </w:p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conséquence.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lastRenderedPageBreak/>
              <w:t>type_rd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Précision sur le type de point d’eau incendie défini dans le règlement départemental DECI</w:t>
            </w:r>
          </w:p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Typologie utilisée au niveau local pour caractériser le type de point d’eau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diam_pei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Entier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Diamètre intérieur du poteau ou de la bouche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Valeurs possibles : 80, 100, 150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Norme européenne :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Poteau Incendie NF EN 14384 (Février 2006) NF S 61 213 CN (Avril 2007) (valeurs possibles : 80, 100 ou 150 ; 80 = 1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prise de 65 - 100 = 2 prises de diamètre 65, 1 prise de diamètre 100 - 150 = 2 prises de diamètre 100)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Bouche Incendie NF EN 14339 (Février 2006) NF S 61 211 CN (Avril 2007) (valeur possible : 1 prise de diamètre 100).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Statut</w:t>
            </w:r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Statut du point d’eau</w:t>
            </w:r>
          </w:p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Valeurs possibles : public, prive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situation</w:t>
            </w:r>
          </w:p>
        </w:tc>
        <w:tc>
          <w:tcPr>
            <w:tcW w:w="709" w:type="dxa"/>
          </w:tcPr>
          <w:p w:rsidR="00B755AC" w:rsidRPr="00926951" w:rsidRDefault="00EA50C1" w:rsidP="00B755A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  <w:color w:val="303030"/>
              </w:rPr>
              <w:t>T</w:t>
            </w:r>
            <w:r w:rsidR="00B755AC" w:rsidRPr="00926951">
              <w:rPr>
                <w:rFonts w:asciiTheme="minorHAnsi" w:hAnsiTheme="minorHAnsi" w:cs="Calibri"/>
                <w:color w:val="303030"/>
              </w:rPr>
              <w:t>exte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Situation du PEI. Adresse ou informations permettant de faciliter la localisation du point d’eau sur le terrain.</w:t>
            </w:r>
          </w:p>
        </w:tc>
      </w:tr>
      <w:tr w:rsidR="00EA50C1" w:rsidRPr="00926951" w:rsidTr="00B755AC">
        <w:tc>
          <w:tcPr>
            <w:tcW w:w="1838" w:type="dxa"/>
          </w:tcPr>
          <w:p w:rsidR="00EA50C1" w:rsidRPr="00926951" w:rsidRDefault="00EA50C1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Débit</w:t>
            </w:r>
          </w:p>
        </w:tc>
        <w:tc>
          <w:tcPr>
            <w:tcW w:w="709" w:type="dxa"/>
          </w:tcPr>
          <w:p w:rsidR="00EA50C1" w:rsidRPr="00926951" w:rsidRDefault="00EA50C1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Entier</w:t>
            </w:r>
          </w:p>
        </w:tc>
        <w:tc>
          <w:tcPr>
            <w:tcW w:w="6515" w:type="dxa"/>
          </w:tcPr>
          <w:p w:rsidR="00EA50C1" w:rsidRPr="00EA50C1" w:rsidRDefault="00EA50C1" w:rsidP="00EA50C1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Débit requis ou débit max à 1bar (en m</w:t>
            </w:r>
            <w:r>
              <w:rPr>
                <w:rFonts w:asciiTheme="minorHAnsi" w:hAnsiTheme="minorHAnsi" w:cs="Calibri"/>
                <w:color w:val="303030"/>
                <w:vertAlign w:val="superscript"/>
              </w:rPr>
              <w:t>3</w:t>
            </w:r>
            <w:r>
              <w:rPr>
                <w:rFonts w:asciiTheme="minorHAnsi" w:hAnsiTheme="minorHAnsi" w:cs="Calibri"/>
                <w:color w:val="303030"/>
              </w:rPr>
              <w:t>/h)</w:t>
            </w:r>
          </w:p>
        </w:tc>
      </w:tr>
      <w:tr w:rsidR="00EA50C1" w:rsidRPr="00926951" w:rsidTr="00B755AC">
        <w:tc>
          <w:tcPr>
            <w:tcW w:w="1838" w:type="dxa"/>
          </w:tcPr>
          <w:p w:rsidR="00EA50C1" w:rsidRPr="00926951" w:rsidRDefault="00EA50C1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Pression</w:t>
            </w:r>
          </w:p>
        </w:tc>
        <w:tc>
          <w:tcPr>
            <w:tcW w:w="709" w:type="dxa"/>
          </w:tcPr>
          <w:p w:rsidR="00EA50C1" w:rsidRPr="00926951" w:rsidRDefault="00EA50C1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Réel</w:t>
            </w:r>
          </w:p>
        </w:tc>
        <w:tc>
          <w:tcPr>
            <w:tcW w:w="6515" w:type="dxa"/>
          </w:tcPr>
          <w:p w:rsidR="00EA50C1" w:rsidRPr="00926951" w:rsidRDefault="00EA50C1" w:rsidP="00EA50C1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Pression au débit requis (en bar)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date_maj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Date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 xml:space="preserve">Date de dernière mise à jour de la donnée au format 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aaaa</w:t>
            </w:r>
            <w:proofErr w:type="spellEnd"/>
            <w:r w:rsidRPr="00926951">
              <w:rPr>
                <w:rFonts w:asciiTheme="minorHAnsi" w:hAnsiTheme="minorHAnsi" w:cs="Calibri"/>
                <w:color w:val="303030"/>
              </w:rPr>
              <w:t>-mm-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jj</w:t>
            </w:r>
            <w:proofErr w:type="spellEnd"/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date_ro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Date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 xml:space="preserve">Date de la dernière reconnaissance opérationnelle au format 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aaaa</w:t>
            </w:r>
            <w:proofErr w:type="spellEnd"/>
            <w:r w:rsidRPr="00926951">
              <w:rPr>
                <w:rFonts w:asciiTheme="minorHAnsi" w:hAnsiTheme="minorHAnsi" w:cs="Calibri"/>
                <w:color w:val="303030"/>
              </w:rPr>
              <w:t>-mm-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jj</w:t>
            </w:r>
            <w:proofErr w:type="spellEnd"/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X</w:t>
            </w:r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Réel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 xml:space="preserve">x en 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lambert</w:t>
            </w:r>
            <w:proofErr w:type="spellEnd"/>
            <w:r w:rsidRPr="00926951">
              <w:rPr>
                <w:rFonts w:asciiTheme="minorHAnsi" w:hAnsiTheme="minorHAnsi" w:cs="Calibri"/>
                <w:color w:val="303030"/>
              </w:rPr>
              <w:t xml:space="preserve"> 93 (précision de 2 décimales)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Y</w:t>
            </w:r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Réel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 xml:space="preserve">y en </w:t>
            </w: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lambert</w:t>
            </w:r>
            <w:proofErr w:type="spellEnd"/>
            <w:r w:rsidRPr="00926951">
              <w:rPr>
                <w:rFonts w:asciiTheme="minorHAnsi" w:hAnsiTheme="minorHAnsi" w:cs="Calibri"/>
                <w:color w:val="303030"/>
              </w:rPr>
              <w:t xml:space="preserve"> 93 (précision de 2 décimales)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Lon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Réel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longitude en degrés décimaux en WGS 84 (précision de 8 décimales)</w:t>
            </w:r>
          </w:p>
        </w:tc>
      </w:tr>
      <w:tr w:rsidR="00B755AC" w:rsidRPr="00926951" w:rsidTr="00B755AC">
        <w:tc>
          <w:tcPr>
            <w:tcW w:w="1838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Lat</w:t>
            </w:r>
            <w:proofErr w:type="spellEnd"/>
          </w:p>
        </w:tc>
        <w:tc>
          <w:tcPr>
            <w:tcW w:w="709" w:type="dxa"/>
          </w:tcPr>
          <w:p w:rsidR="00B755AC" w:rsidRPr="00926951" w:rsidRDefault="00B755AC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Réel</w:t>
            </w:r>
          </w:p>
        </w:tc>
        <w:tc>
          <w:tcPr>
            <w:tcW w:w="6515" w:type="dxa"/>
          </w:tcPr>
          <w:p w:rsidR="00B755AC" w:rsidRPr="00926951" w:rsidRDefault="00B755AC" w:rsidP="00B755A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latitude en degrés décimaux en WGS 84 (précision de 8 décimales)</w:t>
            </w:r>
          </w:p>
        </w:tc>
      </w:tr>
      <w:tr w:rsidR="00174B2A" w:rsidRPr="00926951" w:rsidTr="00B755AC">
        <w:tc>
          <w:tcPr>
            <w:tcW w:w="1838" w:type="dxa"/>
          </w:tcPr>
          <w:p w:rsidR="00174B2A" w:rsidRPr="00926951" w:rsidRDefault="00174B2A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>
              <w:rPr>
                <w:rFonts w:asciiTheme="minorHAnsi" w:hAnsiTheme="minorHAnsi" w:cs="Calibri"/>
                <w:color w:val="303030"/>
              </w:rPr>
              <w:t>Prec</w:t>
            </w:r>
            <w:proofErr w:type="spellEnd"/>
          </w:p>
        </w:tc>
        <w:tc>
          <w:tcPr>
            <w:tcW w:w="709" w:type="dxa"/>
          </w:tcPr>
          <w:p w:rsidR="00174B2A" w:rsidRPr="00926951" w:rsidRDefault="00174B2A" w:rsidP="00B755AC">
            <w:pPr>
              <w:jc w:val="both"/>
              <w:rPr>
                <w:rFonts w:asciiTheme="minorHAnsi" w:hAnsiTheme="minorHAnsi" w:cs="Calibri"/>
                <w:color w:val="303030"/>
              </w:rPr>
            </w:pPr>
            <w:r>
              <w:rPr>
                <w:rFonts w:asciiTheme="minorHAnsi" w:hAnsiTheme="minorHAnsi" w:cs="Calibri"/>
                <w:color w:val="303030"/>
              </w:rPr>
              <w:t>texte</w:t>
            </w:r>
          </w:p>
        </w:tc>
        <w:tc>
          <w:tcPr>
            <w:tcW w:w="6515" w:type="dxa"/>
          </w:tcPr>
          <w:p w:rsidR="00174B2A" w:rsidRPr="00174B2A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Classes de précision :</w:t>
            </w:r>
          </w:p>
          <w:p w:rsidR="00174B2A" w:rsidRPr="00174B2A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- 01 (0 à 1 m)</w:t>
            </w:r>
          </w:p>
          <w:p w:rsidR="00174B2A" w:rsidRPr="00174B2A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- 05 (de 1 à 5 m)</w:t>
            </w:r>
          </w:p>
          <w:p w:rsidR="00174B2A" w:rsidRPr="00174B2A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- 10 (de 5 à 10 m)</w:t>
            </w:r>
          </w:p>
          <w:p w:rsidR="00174B2A" w:rsidRPr="00174B2A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- 99 (plus de 10 m)</w:t>
            </w:r>
          </w:p>
          <w:p w:rsidR="00174B2A" w:rsidRPr="00926951" w:rsidRDefault="00174B2A" w:rsidP="00174B2A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  <w:r w:rsidRPr="00174B2A">
              <w:rPr>
                <w:rFonts w:asciiTheme="minorHAnsi" w:hAnsiTheme="minorHAnsi" w:cs="Calibri"/>
                <w:color w:val="303030"/>
              </w:rPr>
              <w:t>vide si inconnu</w:t>
            </w:r>
          </w:p>
        </w:tc>
      </w:tr>
    </w:tbl>
    <w:p w:rsidR="00DB139F" w:rsidRPr="00926951" w:rsidRDefault="00DB139F" w:rsidP="00B755AC">
      <w:pPr>
        <w:jc w:val="both"/>
        <w:rPr>
          <w:rFonts w:asciiTheme="minorHAnsi" w:hAnsiTheme="minorHAnsi"/>
        </w:rPr>
      </w:pPr>
    </w:p>
    <w:p w:rsidR="00DB139F" w:rsidRPr="00433CFD" w:rsidRDefault="008275D0" w:rsidP="00DB139F">
      <w:pPr>
        <w:ind w:firstLine="708"/>
        <w:jc w:val="both"/>
        <w:rPr>
          <w:rFonts w:asciiTheme="minorHAnsi" w:hAnsiTheme="minorHAnsi"/>
          <w:i/>
        </w:rPr>
      </w:pPr>
      <w:proofErr w:type="spellStart"/>
      <w:r w:rsidRPr="00433CFD">
        <w:rPr>
          <w:rFonts w:asciiTheme="minorHAnsi" w:hAnsiTheme="minorHAnsi"/>
          <w:i/>
        </w:rPr>
        <w:t>I</w:t>
      </w:r>
      <w:r w:rsidR="00433CFD" w:rsidRPr="00433CFD">
        <w:rPr>
          <w:rFonts w:asciiTheme="minorHAnsi" w:hAnsiTheme="minorHAnsi"/>
          <w:i/>
        </w:rPr>
        <w:t>I</w:t>
      </w:r>
      <w:r w:rsidR="00C5162E">
        <w:rPr>
          <w:rFonts w:asciiTheme="minorHAnsi" w:hAnsiTheme="minorHAnsi"/>
          <w:i/>
        </w:rPr>
        <w:t>.b</w:t>
      </w:r>
      <w:proofErr w:type="spellEnd"/>
      <w:r w:rsidR="00DB139F" w:rsidRPr="00433CFD">
        <w:rPr>
          <w:rFonts w:asciiTheme="minorHAnsi" w:hAnsiTheme="minorHAnsi"/>
          <w:i/>
        </w:rPr>
        <w:t xml:space="preserve"> Modèle pour les données ERP</w:t>
      </w:r>
    </w:p>
    <w:p w:rsidR="005537A6" w:rsidRDefault="005537A6" w:rsidP="005537A6">
      <w:pPr>
        <w:jc w:val="both"/>
        <w:rPr>
          <w:rFonts w:asciiTheme="minorHAnsi" w:hAnsiTheme="minorHAnsi"/>
        </w:rPr>
      </w:pPr>
    </w:p>
    <w:p w:rsidR="005537A6" w:rsidRDefault="005537A6" w:rsidP="005537A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S.D.I.S.71 est partenaire de l’</w:t>
      </w:r>
      <w:r w:rsidRPr="00DB139F">
        <w:rPr>
          <w:rFonts w:asciiTheme="minorHAnsi" w:hAnsiTheme="minorHAnsi"/>
          <w:b/>
        </w:rPr>
        <w:t>IGN</w:t>
      </w:r>
      <w:r>
        <w:rPr>
          <w:rFonts w:asciiTheme="minorHAnsi" w:hAnsiTheme="minorHAnsi"/>
        </w:rPr>
        <w:t xml:space="preserve"> pour la mise à jour de la base de données de référence dont il a la charge, la BDTOPOv3. Cette base de données comporte nouvellement un volet ERP et l’IGN souhaite que le S.D.I.S.71 étende son partenariat sur l’adresse aux ERP.</w:t>
      </w:r>
    </w:p>
    <w:p w:rsidR="00DB139F" w:rsidRDefault="00DB139F" w:rsidP="00DB139F">
      <w:pPr>
        <w:jc w:val="both"/>
        <w:rPr>
          <w:rFonts w:asciiTheme="minorHAnsi" w:hAnsiTheme="minorHAnsi"/>
        </w:rPr>
      </w:pPr>
    </w:p>
    <w:p w:rsidR="00DB139F" w:rsidRDefault="005537A6" w:rsidP="00DB139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0A13B1">
        <w:rPr>
          <w:rFonts w:asciiTheme="minorHAnsi" w:hAnsiTheme="minorHAnsi"/>
        </w:rPr>
        <w:t xml:space="preserve">e modèle </w:t>
      </w:r>
      <w:r w:rsidR="0092345B">
        <w:rPr>
          <w:rFonts w:asciiTheme="minorHAnsi" w:hAnsiTheme="minorHAnsi"/>
        </w:rPr>
        <w:t>prend en compte</w:t>
      </w:r>
      <w:r w:rsidR="00DB139F">
        <w:rPr>
          <w:rFonts w:asciiTheme="minorHAnsi" w:hAnsiTheme="minorHAnsi"/>
        </w:rPr>
        <w:t xml:space="preserve"> la structuration des données </w:t>
      </w:r>
      <w:r w:rsidR="000A13B1">
        <w:rPr>
          <w:rFonts w:asciiTheme="minorHAnsi" w:hAnsiTheme="minorHAnsi"/>
        </w:rPr>
        <w:t>telles qu’existante dans la BDTOPOv3 de l’IGN.</w:t>
      </w:r>
    </w:p>
    <w:p w:rsidR="00DB139F" w:rsidRPr="00926951" w:rsidRDefault="00DB139F" w:rsidP="00DB139F">
      <w:pPr>
        <w:jc w:val="both"/>
        <w:rPr>
          <w:rFonts w:asciiTheme="minorHAnsi" w:hAnsi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2"/>
        <w:gridCol w:w="703"/>
        <w:gridCol w:w="5787"/>
      </w:tblGrid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Nom du champ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Type</w:t>
            </w: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Description</w:t>
            </w: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proofErr w:type="spellStart"/>
            <w:r w:rsidRPr="00926951">
              <w:rPr>
                <w:rFonts w:asciiTheme="minorHAnsi" w:hAnsiTheme="minorHAnsi"/>
              </w:rPr>
              <w:t>Id_sdis</w:t>
            </w:r>
            <w:proofErr w:type="spellEnd"/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Identifiant de la base SDIS</w:t>
            </w: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Libellé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Nom de l’établissement</w:t>
            </w: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Catégorie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Type principal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Types secondaires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Activité principale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Activités secondaires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Ouvert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Capacité d’accueil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INSEE Commune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/>
              </w:rPr>
              <w:t>Texte</w:t>
            </w: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Numéro INSEE de la commune</w:t>
            </w: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Adresse_numero</w:t>
            </w:r>
            <w:proofErr w:type="spellEnd"/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Adresse_indice_repetition</w:t>
            </w:r>
            <w:proofErr w:type="spellEnd"/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lastRenderedPageBreak/>
              <w:t>Adresse_désignation</w:t>
            </w:r>
            <w:proofErr w:type="spellEnd"/>
            <w:r w:rsidRPr="00926951">
              <w:rPr>
                <w:rFonts w:asciiTheme="minorHAnsi" w:hAnsiTheme="minorHAnsi" w:cs="Calibri"/>
                <w:color w:val="303030"/>
              </w:rPr>
              <w:t xml:space="preserve"> entrée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Adresse nom1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r w:rsidRPr="00926951">
              <w:rPr>
                <w:rFonts w:asciiTheme="minorHAnsi" w:hAnsiTheme="minorHAnsi" w:cs="Calibri"/>
                <w:color w:val="303030"/>
              </w:rPr>
              <w:t>Adresse nom2</w:t>
            </w:r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  <w:tr w:rsidR="00DB139F" w:rsidRPr="00926951" w:rsidTr="007838C9">
        <w:tc>
          <w:tcPr>
            <w:tcW w:w="2572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  <w:proofErr w:type="spellStart"/>
            <w:r w:rsidRPr="00926951">
              <w:rPr>
                <w:rFonts w:asciiTheme="minorHAnsi" w:hAnsiTheme="minorHAnsi" w:cs="Calibri"/>
                <w:color w:val="303030"/>
              </w:rPr>
              <w:t>Code_postal</w:t>
            </w:r>
            <w:proofErr w:type="spellEnd"/>
          </w:p>
        </w:tc>
        <w:tc>
          <w:tcPr>
            <w:tcW w:w="703" w:type="dxa"/>
          </w:tcPr>
          <w:p w:rsidR="00DB139F" w:rsidRPr="00926951" w:rsidRDefault="00DB139F" w:rsidP="007838C9">
            <w:pPr>
              <w:jc w:val="both"/>
              <w:rPr>
                <w:rFonts w:asciiTheme="minorHAnsi" w:hAnsiTheme="minorHAnsi" w:cs="Calibri"/>
                <w:color w:val="303030"/>
              </w:rPr>
            </w:pPr>
          </w:p>
        </w:tc>
        <w:tc>
          <w:tcPr>
            <w:tcW w:w="5787" w:type="dxa"/>
          </w:tcPr>
          <w:p w:rsidR="00DB139F" w:rsidRPr="00926951" w:rsidRDefault="00DB139F" w:rsidP="007838C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303030"/>
              </w:rPr>
            </w:pPr>
          </w:p>
        </w:tc>
      </w:tr>
    </w:tbl>
    <w:p w:rsidR="00DB139F" w:rsidRPr="00926951" w:rsidRDefault="00DB139F" w:rsidP="00DB139F">
      <w:pPr>
        <w:jc w:val="both"/>
        <w:rPr>
          <w:rFonts w:asciiTheme="minorHAnsi" w:hAnsiTheme="minorHAnsi"/>
        </w:rPr>
      </w:pPr>
    </w:p>
    <w:p w:rsidR="00DB139F" w:rsidRPr="00433CFD" w:rsidRDefault="00DB139F" w:rsidP="00DB139F">
      <w:pPr>
        <w:jc w:val="both"/>
        <w:rPr>
          <w:rFonts w:asciiTheme="minorHAnsi" w:hAnsiTheme="minorHAnsi"/>
          <w:u w:val="single"/>
        </w:rPr>
      </w:pPr>
      <w:r w:rsidRPr="00433CFD">
        <w:rPr>
          <w:rFonts w:asciiTheme="minorHAnsi" w:hAnsiTheme="minorHAnsi"/>
          <w:u w:val="single"/>
        </w:rPr>
        <w:t>I</w:t>
      </w:r>
      <w:r w:rsidR="00433CFD" w:rsidRPr="00433CFD">
        <w:rPr>
          <w:rFonts w:asciiTheme="minorHAnsi" w:hAnsiTheme="minorHAnsi"/>
          <w:u w:val="single"/>
        </w:rPr>
        <w:t>I</w:t>
      </w:r>
      <w:r w:rsidRPr="00433CFD">
        <w:rPr>
          <w:rFonts w:asciiTheme="minorHAnsi" w:hAnsiTheme="minorHAnsi"/>
          <w:u w:val="single"/>
        </w:rPr>
        <w:t>I. La licence d’utilisation</w:t>
      </w:r>
    </w:p>
    <w:p w:rsidR="00DB139F" w:rsidRPr="00926951" w:rsidRDefault="00DB139F" w:rsidP="00DB139F">
      <w:pPr>
        <w:jc w:val="both"/>
        <w:rPr>
          <w:rFonts w:asciiTheme="minorHAnsi" w:hAnsiTheme="minorHAnsi"/>
        </w:rPr>
      </w:pPr>
    </w:p>
    <w:p w:rsidR="00DB139F" w:rsidRDefault="00DB139F" w:rsidP="00DB139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Afin de clarifier les possibilités de réutilisations et de protéger le </w:t>
      </w:r>
      <w:r w:rsidR="008275D0">
        <w:rPr>
          <w:rFonts w:asciiTheme="minorHAnsi" w:hAnsiTheme="minorHAnsi"/>
        </w:rPr>
        <w:t>S.D.I.S.71 de tout usage ultérieur de s</w:t>
      </w:r>
      <w:r>
        <w:rPr>
          <w:rFonts w:asciiTheme="minorHAnsi" w:hAnsiTheme="minorHAnsi"/>
        </w:rPr>
        <w:t xml:space="preserve">es données, il est nécessaire d’appliquer une licence à ces jeux de données que nous ouvrons. La licence actuellement recommandée et largement </w:t>
      </w:r>
      <w:r w:rsidR="0092345B">
        <w:rPr>
          <w:rFonts w:asciiTheme="minorHAnsi" w:hAnsiTheme="minorHAnsi"/>
        </w:rPr>
        <w:t xml:space="preserve">utilisée est </w:t>
      </w:r>
      <w:r w:rsidR="0092345B" w:rsidRPr="000A13B1">
        <w:rPr>
          <w:rFonts w:asciiTheme="minorHAnsi" w:hAnsiTheme="minorHAnsi"/>
        </w:rPr>
        <w:t xml:space="preserve">la </w:t>
      </w:r>
      <w:r w:rsidR="0092345B" w:rsidRPr="000A13B1">
        <w:rPr>
          <w:rFonts w:asciiTheme="minorHAnsi" w:hAnsiTheme="minorHAnsi"/>
          <w:b/>
        </w:rPr>
        <w:t>Licence Ouverte 2.0.</w:t>
      </w:r>
    </w:p>
    <w:p w:rsidR="00DB139F" w:rsidRPr="00B755AC" w:rsidRDefault="00DB139F" w:rsidP="00DB139F">
      <w:pPr>
        <w:jc w:val="both"/>
        <w:rPr>
          <w:rFonts w:asciiTheme="minorHAnsi" w:hAnsiTheme="minorHAnsi"/>
        </w:rPr>
      </w:pPr>
    </w:p>
    <w:sectPr w:rsidR="00DB139F" w:rsidRPr="00B755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C0" w:rsidRDefault="00015AC0" w:rsidP="00015AC0">
      <w:r>
        <w:separator/>
      </w:r>
    </w:p>
  </w:endnote>
  <w:endnote w:type="continuationSeparator" w:id="0">
    <w:p w:rsidR="00015AC0" w:rsidRDefault="00015AC0" w:rsidP="0001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C0" w:rsidRDefault="00015AC0" w:rsidP="00015AC0">
      <w:r>
        <w:separator/>
      </w:r>
    </w:p>
  </w:footnote>
  <w:footnote w:type="continuationSeparator" w:id="0">
    <w:p w:rsidR="00015AC0" w:rsidRDefault="00015AC0" w:rsidP="00015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C0" w:rsidRDefault="00015AC0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199086</wp:posOffset>
              </wp:positionH>
              <wp:positionV relativeFrom="paragraph">
                <wp:posOffset>18415</wp:posOffset>
              </wp:positionV>
              <wp:extent cx="7132320" cy="0"/>
              <wp:effectExtent l="0" t="0" r="30480" b="19050"/>
              <wp:wrapNone/>
              <wp:docPr id="3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23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D62F7B" id="Connecteur droit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.7pt,1.45pt" to="577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HzHAIAADQEAAAOAAAAZHJzL2Uyb0RvYy54bWysU9uO2yAQfa/Uf0C8J77E2U2sOKvKTvqy&#10;7Uba7QcQwDEqBgQkTlT13zuQi7LtS1XVD3hgZg5nzgyLp2Mv0YFbJ7SqcDZOMeKKaibUrsLf3taj&#10;GUbOE8WI1IpX+MQdflp+/LAYTMlz3WnJuEUAolw5mAp33psySRzteE/cWBuuwNlq2xMPW7tLmCUD&#10;oPcyydP0IRm0ZcZqyp2D0+bsxMuI37ac+pe2ddwjWWHg5uNq47oNa7JckHJniekEvdAg/8CiJ0LB&#10;pTeohniC9lb8AdULarXTrR9T3Se6bQXlsQaoJkt/q+a1I4bHWkAcZ24yuf8HS78eNhYJVuEJRor0&#10;0KJaKwW68b1FzGrh0SSoNBhXQnCtNjbUSY/q1Txr+t0hpeuOqB2PbN9OBiCykJG8SwkbZ+Cu7fBF&#10;M4ghe6+jZMfW9gESxEDH2JnTrTP86BGFw8dskk9yaCC9+hJSXhONdf4z1z0KRoWlUEE0UpLDs/OB&#10;CCmvIeFY6bWQMjZeKjRUeD7NpzHBaSlYcIYwZ3fbWlp0IGF04herAs99mNV7xSJYxwlbXWxPhDzb&#10;cLlUAQ9KAToX6zwbP+bpfDVbzYpRkT+sRkXaNKNP67oYPayzx2kzaeq6yX4GallRdoIxrgK765xm&#10;xd/NweXFnCfsNqk3GZL36FEvIHv9R9Kxl6F950HYanba2GuPYTRj8OUZhdm/34N9/9iXvwAAAP//&#10;AwBQSwMEFAAGAAgAAAAhAD9HTHTbAAAABwEAAA8AAABkcnMvZG93bnJldi54bWxMjs1OwkAUhfcm&#10;vsPkmrghMG1BIqVTYtTu3IASt5fOpW3o3CmdAapP7+BGl+cn53zZajCtOFPvGssK4kkEgri0uuFK&#10;wcd7MX4E4TyyxtYyKfgiB6v89ibDVNsLr+m88ZUII+xSVFB736VSurImg25iO+KQ7W1v0AfZV1L3&#10;eAnjppVJFM2lwYbDQ40dPddUHjYno8AVWzoW36NyFH1OK0vJ8eXtFZW6vxueliA8Df6vDFf8gA55&#10;YNrZE2snWgXTeBaaCpIFiGscP8zmIHa/hswz+Z8//wEAAP//AwBQSwECLQAUAAYACAAAACEAtoM4&#10;kv4AAADhAQAAEwAAAAAAAAAAAAAAAAAAAAAAW0NvbnRlbnRfVHlwZXNdLnhtbFBLAQItABQABgAI&#10;AAAAIQA4/SH/1gAAAJQBAAALAAAAAAAAAAAAAAAAAC8BAABfcmVscy8ucmVsc1BLAQItABQABgAI&#10;AAAAIQCQLvHzHAIAADQEAAAOAAAAAAAAAAAAAAAAAC4CAABkcnMvZTJvRG9jLnhtbFBLAQItABQA&#10;BgAIAAAAIQA/R0x02wAAAAcBAAAPAAAAAAAAAAAAAAAAAHYEAABkcnMvZG93bnJldi54bWxQSwUG&#10;AAAAAAQABADzAAAAfgUAAAAA&#10;" o:allowincell="f">
              <w10:wrap anchorx="page"/>
            </v:line>
          </w:pict>
        </mc:Fallback>
      </mc:AlternateContent>
    </w:r>
    <w:r w:rsidR="00D239DC">
      <w:rPr>
        <w:noProof/>
        <w:lang w:eastAsia="fr-F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52.75pt;margin-top:-20.45pt;width:122.4pt;height:50.4pt;z-index:251659264;visibility:visible;mso-wrap-edited:f;mso-position-horizontal-relative:text;mso-position-vertical-relative:text" o:allowincell="f">
          <v:imagedata r:id="rId1" o:title=""/>
        </v:shape>
        <o:OLEObject Type="Embed" ProgID="Word.Picture.8" ShapeID="_x0000_s2050" DrawAspect="Content" ObjectID="_16350540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0599"/>
    <w:multiLevelType w:val="hybridMultilevel"/>
    <w:tmpl w:val="352EA3DC"/>
    <w:lvl w:ilvl="0" w:tplc="DCAEB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A7678"/>
    <w:multiLevelType w:val="hybridMultilevel"/>
    <w:tmpl w:val="76DE7D36"/>
    <w:lvl w:ilvl="0" w:tplc="4DEA783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AC"/>
    <w:rsid w:val="00015AC0"/>
    <w:rsid w:val="000A13B1"/>
    <w:rsid w:val="00110ED3"/>
    <w:rsid w:val="0013121C"/>
    <w:rsid w:val="00174B2A"/>
    <w:rsid w:val="001A377F"/>
    <w:rsid w:val="001F42DF"/>
    <w:rsid w:val="00297072"/>
    <w:rsid w:val="002F3BBB"/>
    <w:rsid w:val="00316E39"/>
    <w:rsid w:val="003F5B07"/>
    <w:rsid w:val="00433CFD"/>
    <w:rsid w:val="004722AF"/>
    <w:rsid w:val="00476097"/>
    <w:rsid w:val="00477D9C"/>
    <w:rsid w:val="004D252F"/>
    <w:rsid w:val="005537A6"/>
    <w:rsid w:val="005F395B"/>
    <w:rsid w:val="006F081C"/>
    <w:rsid w:val="007451E1"/>
    <w:rsid w:val="00747644"/>
    <w:rsid w:val="007E02BB"/>
    <w:rsid w:val="008275D0"/>
    <w:rsid w:val="0092345B"/>
    <w:rsid w:val="00926951"/>
    <w:rsid w:val="00A775BF"/>
    <w:rsid w:val="00AD6E49"/>
    <w:rsid w:val="00B755AC"/>
    <w:rsid w:val="00BC03EF"/>
    <w:rsid w:val="00C5162E"/>
    <w:rsid w:val="00D204ED"/>
    <w:rsid w:val="00D239DC"/>
    <w:rsid w:val="00D33DB3"/>
    <w:rsid w:val="00DB139F"/>
    <w:rsid w:val="00E332C6"/>
    <w:rsid w:val="00EA50C1"/>
    <w:rsid w:val="00EF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C1C26831-AAA8-4E13-AC7E-66F8E348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81C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5162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rebuchet-texte">
    <w:name w:val="Trebuchet - texte"/>
    <w:basedOn w:val="Normal"/>
    <w:link w:val="Trebuchet-texteCar"/>
    <w:qFormat/>
    <w:rsid w:val="004722AF"/>
    <w:pPr>
      <w:jc w:val="both"/>
    </w:pPr>
    <w:rPr>
      <w:rFonts w:ascii="Trebuchet MS" w:hAnsi="Trebuchet MS"/>
    </w:rPr>
  </w:style>
  <w:style w:type="character" w:customStyle="1" w:styleId="Trebuchet-texteCar">
    <w:name w:val="Trebuchet - texte Car"/>
    <w:basedOn w:val="Policepardfaut"/>
    <w:link w:val="Trebuchet-texte"/>
    <w:rsid w:val="004722AF"/>
    <w:rPr>
      <w:rFonts w:ascii="Trebuchet MS" w:hAnsi="Trebuchet MS"/>
    </w:rPr>
  </w:style>
  <w:style w:type="table" w:styleId="Grilledutableau">
    <w:name w:val="Table Grid"/>
    <w:basedOn w:val="TableauNormal"/>
    <w:uiPriority w:val="39"/>
    <w:rsid w:val="00B7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33CFD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6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C5162E"/>
    <w:rPr>
      <w:b/>
      <w:bCs/>
    </w:rPr>
  </w:style>
  <w:style w:type="character" w:styleId="Lienhypertexte">
    <w:name w:val="Hyperlink"/>
    <w:basedOn w:val="Policepardfaut"/>
    <w:uiPriority w:val="99"/>
    <w:unhideWhenUsed/>
    <w:rsid w:val="00C5162E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15A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15AC0"/>
  </w:style>
  <w:style w:type="paragraph" w:styleId="Pieddepage">
    <w:name w:val="footer"/>
    <w:basedOn w:val="Normal"/>
    <w:link w:val="PieddepageCar"/>
    <w:uiPriority w:val="99"/>
    <w:unhideWhenUsed/>
    <w:rsid w:val="00015A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5AC0"/>
  </w:style>
  <w:style w:type="character" w:styleId="Lienhypertextesuivivisit">
    <w:name w:val="FollowedHyperlink"/>
    <w:basedOn w:val="Policepardfaut"/>
    <w:uiPriority w:val="99"/>
    <w:semiHidden/>
    <w:unhideWhenUsed/>
    <w:rsid w:val="007E02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spire.ec.europa.eu/theme/us?lang=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1536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SDIS Mme Gardey</dc:creator>
  <cp:keywords/>
  <dc:description/>
  <cp:lastModifiedBy>SDIS Mme Gardey</cp:lastModifiedBy>
  <cp:revision>5</cp:revision>
  <dcterms:created xsi:type="dcterms:W3CDTF">2019-11-08T07:21:00Z</dcterms:created>
  <dcterms:modified xsi:type="dcterms:W3CDTF">2019-11-12T07:54:00Z</dcterms:modified>
</cp:coreProperties>
</file>