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BC2700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Densification et extension des espaces urbanisés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4732E4" w:rsidP="004732E4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Classer</w:t>
            </w:r>
            <w:r w:rsidR="00D26CD6" w:rsidRPr="00BA0B0A">
              <w:rPr>
                <w:color w:val="000000" w:themeColor="text1"/>
              </w:rPr>
              <w:t xml:space="preserve"> l’évolution </w:t>
            </w:r>
            <w:r w:rsidR="00BA0B0A" w:rsidRPr="00BA0B0A">
              <w:rPr>
                <w:color w:val="000000" w:themeColor="text1"/>
              </w:rPr>
              <w:t xml:space="preserve">des </w:t>
            </w:r>
            <w:r w:rsidR="005F5C93" w:rsidRPr="005F5C93">
              <w:t>espace</w:t>
            </w:r>
            <w:r w:rsidR="0018356F">
              <w:t>s</w:t>
            </w:r>
            <w:r w:rsidR="005F5C93" w:rsidRPr="005F5C93">
              <w:t xml:space="preserve"> urbanisé</w:t>
            </w:r>
            <w:r w:rsidR="0018356F">
              <w:t>s</w:t>
            </w:r>
            <w:r w:rsidR="005F5C93" w:rsidRPr="005F5C93">
              <w:t>/</w:t>
            </w:r>
            <w:r w:rsidR="005F5C93">
              <w:t>de l’</w:t>
            </w:r>
            <w:r w:rsidR="005F5C93" w:rsidRPr="005F5C93">
              <w:t>enveloppe urbaine </w:t>
            </w:r>
            <w:r w:rsidRPr="005F5C93">
              <w:t>entre</w:t>
            </w:r>
            <w:r>
              <w:rPr>
                <w:color w:val="000000" w:themeColor="text1"/>
              </w:rPr>
              <w:t xml:space="preserve"> densification et extension</w:t>
            </w:r>
            <w:r w:rsidR="00D26CD6" w:rsidRPr="00BA0B0A">
              <w:rPr>
                <w:color w:val="000000" w:themeColor="text1"/>
              </w:rPr>
              <w:t xml:space="preserve"> entre les mil</w:t>
            </w:r>
            <w:r w:rsidR="00BA0B0A" w:rsidRPr="00BA0B0A">
              <w:rPr>
                <w:color w:val="000000" w:themeColor="text1"/>
              </w:rPr>
              <w:t>lésimes 2010/2011 et 2017/2018.</w:t>
            </w:r>
            <w:r w:rsidR="00104C9C">
              <w:rPr>
                <w:color w:val="000000" w:themeColor="text1"/>
              </w:rPr>
              <w:t xml:space="preserve"> </w:t>
            </w:r>
          </w:p>
        </w:tc>
      </w:tr>
      <w:tr w:rsidR="00D82ACD" w:rsidRPr="00874974" w:rsidTr="0023475C">
        <w:tc>
          <w:tcPr>
            <w:tcW w:w="10344" w:type="dxa"/>
            <w:shd w:val="clear" w:color="auto" w:fill="92D050"/>
            <w:vAlign w:val="center"/>
          </w:tcPr>
          <w:p w:rsidR="00D82ACD" w:rsidRPr="00874974" w:rsidRDefault="00D82ACD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D82ACD" w:rsidRPr="00BA0B0A" w:rsidTr="0023475C">
        <w:tc>
          <w:tcPr>
            <w:tcW w:w="10344" w:type="dxa"/>
            <w:shd w:val="clear" w:color="auto" w:fill="auto"/>
            <w:vAlign w:val="center"/>
          </w:tcPr>
          <w:p w:rsidR="00D82ACD" w:rsidRPr="00874974" w:rsidRDefault="00D82ACD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2B2288" w:rsidRPr="00874974">
              <w:rPr>
                <w:b/>
                <w:color w:val="000000" w:themeColor="text1"/>
              </w:rPr>
              <w:t>d</w:t>
            </w:r>
            <w:r w:rsidR="002B2288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D82ACD" w:rsidRDefault="00D82ACD" w:rsidP="0023475C">
            <w:pPr>
              <w:spacing w:before="120" w:after="120"/>
              <w:rPr>
                <w:color w:val="000000" w:themeColor="text1"/>
              </w:rPr>
            </w:pPr>
          </w:p>
          <w:p w:rsidR="00D82ACD" w:rsidRPr="00874974" w:rsidRDefault="00D82ACD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5014A8" w:rsidRDefault="005014A8" w:rsidP="008747A2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</w:t>
            </w:r>
          </w:p>
          <w:p w:rsidR="005F5C93" w:rsidRPr="008747A2" w:rsidRDefault="005F5C93" w:rsidP="008747A2">
            <w:pPr>
              <w:spacing w:before="120" w:after="120"/>
              <w:rPr>
                <w:color w:val="000000" w:themeColor="text1"/>
              </w:rPr>
            </w:pPr>
            <w:r w:rsidRPr="008747A2">
              <w:rPr>
                <w:color w:val="000000" w:themeColor="text1"/>
              </w:rPr>
              <w:t>La densification prend en compte uniquement les nouvelles zones bâties situées à l’intérieur des espaces urbanisés/de l’enveloppe urbaine du millésime 2010/2011</w:t>
            </w:r>
            <w:r w:rsidR="00BB3529">
              <w:rPr>
                <w:color w:val="000000" w:themeColor="text1"/>
              </w:rPr>
              <w:t>.</w:t>
            </w:r>
          </w:p>
          <w:p w:rsidR="00D82ACD" w:rsidRDefault="005F5C93" w:rsidP="0023475C">
            <w:pPr>
              <w:spacing w:before="120" w:after="120"/>
              <w:rPr>
                <w:color w:val="000000" w:themeColor="text1"/>
              </w:rPr>
            </w:pPr>
            <w:r w:rsidRPr="008747A2">
              <w:rPr>
                <w:color w:val="000000" w:themeColor="text1"/>
              </w:rPr>
              <w:t xml:space="preserve">L’extension prend en compte </w:t>
            </w:r>
            <w:r w:rsidR="00403BCC" w:rsidRPr="008747A2">
              <w:rPr>
                <w:color w:val="000000" w:themeColor="text1"/>
              </w:rPr>
              <w:t xml:space="preserve">l’accroissement des espaces urbanisés/enveloppe urbaine, c’est-à-dire </w:t>
            </w:r>
            <w:r w:rsidRPr="008747A2">
              <w:rPr>
                <w:color w:val="000000" w:themeColor="text1"/>
              </w:rPr>
              <w:t>les zones situées à l’extérieur des espaces urbanisés/ de l’enveloppe urbaines du millésime 2010/2011</w:t>
            </w:r>
            <w:r w:rsidR="00403BCC" w:rsidRPr="008747A2">
              <w:rPr>
                <w:color w:val="000000" w:themeColor="text1"/>
              </w:rPr>
              <w:t xml:space="preserve"> et à l’intérieur des espaces urbanisés/enveloppe urbaine 2017/2018 (bâtiments, jardin, parc…)</w:t>
            </w:r>
            <w:r w:rsidR="00BB3529">
              <w:rPr>
                <w:color w:val="000000" w:themeColor="text1"/>
              </w:rPr>
              <w:t>.</w:t>
            </w:r>
          </w:p>
          <w:p w:rsidR="00BB3529" w:rsidRPr="008747A2" w:rsidRDefault="00BB3529" w:rsidP="00BB3529">
            <w:pPr>
              <w:spacing w:before="120" w:after="120"/>
              <w:rPr>
                <w:color w:val="000000" w:themeColor="text1"/>
              </w:rPr>
            </w:pPr>
            <w:r w:rsidRPr="008747A2">
              <w:rPr>
                <w:color w:val="000000" w:themeColor="text1"/>
              </w:rPr>
              <w:t>Cet indicateur ne permet pas de mesurer la densification par extension d’un bâtiment en hauteur ou par démolition puis construction d’un nouveau bâtiment pouvant accueillir plus de logement.</w:t>
            </w:r>
            <w:r>
              <w:rPr>
                <w:color w:val="000000" w:themeColor="text1"/>
              </w:rPr>
              <w:t xml:space="preserve"> L’intérêt de cet indicateur est de montrer des tendances sur un territoire (plutôt en densification, plutôt en extension…).</w:t>
            </w:r>
          </w:p>
          <w:p w:rsidR="00BB3529" w:rsidRDefault="00BB3529" w:rsidP="0023475C">
            <w:pPr>
              <w:spacing w:before="120" w:after="120"/>
              <w:rPr>
                <w:color w:val="000000" w:themeColor="text1"/>
              </w:rPr>
            </w:pPr>
          </w:p>
          <w:p w:rsidR="00D82ACD" w:rsidRPr="00874974" w:rsidRDefault="00D82ACD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D82ACD" w:rsidRDefault="00D82ACD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Indicateur 4 : </w:t>
            </w:r>
            <w:r w:rsidR="00022C41">
              <w:rPr>
                <w:color w:val="000000" w:themeColor="text1"/>
              </w:rPr>
              <w:t>sobriété foncière par habitants</w:t>
            </w:r>
            <w:r>
              <w:rPr>
                <w:color w:val="000000" w:themeColor="text1"/>
              </w:rPr>
              <w:t xml:space="preserve"> – permet de mesurer la superficie des zones à usage résidentiel</w:t>
            </w:r>
            <w:r w:rsidR="002B685D">
              <w:rPr>
                <w:color w:val="000000" w:themeColor="text1"/>
              </w:rPr>
              <w:t xml:space="preserve"> consommée par habitant</w:t>
            </w:r>
          </w:p>
          <w:p w:rsidR="00D82ACD" w:rsidRPr="00BA0B0A" w:rsidRDefault="00D82ACD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Indicateurs </w:t>
            </w:r>
            <w:r w:rsidR="00022C4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 : étalement urbain </w:t>
            </w:r>
            <w:r w:rsidR="00022C41">
              <w:rPr>
                <w:color w:val="000000" w:themeColor="text1"/>
              </w:rPr>
              <w:t xml:space="preserve">par rapport au nombre de ménages </w:t>
            </w:r>
            <w:r>
              <w:rPr>
                <w:color w:val="000000" w:themeColor="text1"/>
              </w:rPr>
              <w:t xml:space="preserve">– permet de </w:t>
            </w:r>
            <w:r w:rsidR="00022C41">
              <w:rPr>
                <w:color w:val="000000" w:themeColor="text1"/>
              </w:rPr>
              <w:t>comparer</w:t>
            </w:r>
            <w:r>
              <w:rPr>
                <w:color w:val="000000" w:themeColor="text1"/>
              </w:rPr>
              <w:t xml:space="preserve"> le taux d’accroissement espace urbanisés</w:t>
            </w:r>
            <w:r w:rsidR="00022C41">
              <w:rPr>
                <w:color w:val="000000" w:themeColor="text1"/>
              </w:rPr>
              <w:t>/enveloppe urbaine</w:t>
            </w:r>
            <w:r>
              <w:rPr>
                <w:color w:val="000000" w:themeColor="text1"/>
              </w:rPr>
              <w:t xml:space="preserve"> et le taux d’accroissement </w:t>
            </w:r>
            <w:r w:rsidR="00022C41">
              <w:rPr>
                <w:color w:val="000000" w:themeColor="text1"/>
              </w:rPr>
              <w:t>du nombre de ménages</w:t>
            </w:r>
            <w:r>
              <w:rPr>
                <w:color w:val="000000" w:themeColor="text1"/>
              </w:rPr>
              <w:t>.</w:t>
            </w:r>
          </w:p>
        </w:tc>
      </w:tr>
    </w:tbl>
    <w:p w:rsidR="00C54661" w:rsidRDefault="00C54661">
      <w:pPr>
        <w:spacing w:after="0" w:line="240" w:lineRule="auto"/>
      </w:pPr>
    </w:p>
    <w:p w:rsidR="00C54661" w:rsidRDefault="00C54661">
      <w:pPr>
        <w:spacing w:after="0" w:line="240" w:lineRule="auto"/>
      </w:pPr>
    </w:p>
    <w:p w:rsidR="00C54661" w:rsidRDefault="00C54661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C54661" w:rsidTr="00634B96">
        <w:tc>
          <w:tcPr>
            <w:tcW w:w="10344" w:type="dxa"/>
            <w:shd w:val="clear" w:color="auto" w:fill="92D050"/>
            <w:vAlign w:val="center"/>
          </w:tcPr>
          <w:p w:rsidR="00C54661" w:rsidRDefault="00C54661" w:rsidP="00634B96">
            <w:pPr>
              <w:spacing w:before="120" w:after="120"/>
              <w:jc w:val="center"/>
            </w:pPr>
            <w:r>
              <w:lastRenderedPageBreak/>
              <w:br w:type="page"/>
            </w:r>
            <w:r>
              <w:rPr>
                <w:b/>
                <w:bCs/>
                <w:color w:val="009900"/>
                <w:sz w:val="28"/>
                <w:szCs w:val="28"/>
              </w:rPr>
              <w:t>POSTES DE LA NOMENCLATURE OCS GE CONCERNÉS</w:t>
            </w:r>
          </w:p>
        </w:tc>
      </w:tr>
      <w:tr w:rsidR="00C54661" w:rsidTr="00634B96">
        <w:tc>
          <w:tcPr>
            <w:tcW w:w="10344" w:type="dxa"/>
            <w:vAlign w:val="center"/>
          </w:tcPr>
          <w:p w:rsidR="00C54661" w:rsidRDefault="00C54661" w:rsidP="00634B96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Identification des évolutions des espaces urbanisés :</w:t>
            </w:r>
            <w:r w:rsidRPr="004C6B74">
              <w:rPr>
                <w:bCs/>
                <w:color w:val="000000" w:themeColor="text1"/>
              </w:rPr>
              <w:t xml:space="preserve"> </w:t>
            </w:r>
          </w:p>
          <w:p w:rsidR="00C54661" w:rsidRPr="005F5C93" w:rsidRDefault="00C54661" w:rsidP="00634B96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Densification : nouvelles zones bâties situées à l’intérieur des espaces urbanisés/enveloppe urbaine de 2010/2011</w:t>
            </w:r>
          </w:p>
          <w:p w:rsidR="00C54661" w:rsidRPr="005F5C93" w:rsidRDefault="00C54661" w:rsidP="00634B96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5F5C93">
              <w:rPr>
                <w:bCs/>
                <w:color w:val="000000" w:themeColor="text1"/>
              </w:rPr>
              <w:t xml:space="preserve">Extension : </w:t>
            </w:r>
            <w:r>
              <w:rPr>
                <w:bCs/>
                <w:color w:val="000000" w:themeColor="text1"/>
              </w:rPr>
              <w:t>nouveaux espaces urbanisés/enveloppe urbaine situés</w:t>
            </w:r>
            <w:r w:rsidRPr="005F5C93">
              <w:rPr>
                <w:bCs/>
                <w:color w:val="000000" w:themeColor="text1"/>
              </w:rPr>
              <w:t xml:space="preserve"> à l’extérieur des espaces urbanisés</w:t>
            </w:r>
            <w:r>
              <w:rPr>
                <w:bCs/>
                <w:color w:val="000000" w:themeColor="text1"/>
              </w:rPr>
              <w:t>/enveloppe urbaine</w:t>
            </w:r>
            <w:r w:rsidRPr="005F5C93">
              <w:rPr>
                <w:bCs/>
                <w:color w:val="000000" w:themeColor="text1"/>
              </w:rPr>
              <w:t xml:space="preserve"> 2010/2011</w:t>
            </w:r>
            <w:r>
              <w:rPr>
                <w:bCs/>
                <w:color w:val="000000" w:themeColor="text1"/>
              </w:rPr>
              <w:t xml:space="preserve"> </w:t>
            </w:r>
          </w:p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2"/>
              <w:gridCol w:w="3392"/>
              <w:gridCol w:w="3344"/>
            </w:tblGrid>
            <w:tr w:rsidR="009967F3" w:rsidRPr="009967F3" w:rsidTr="009967F3">
              <w:trPr>
                <w:jc w:val="center"/>
              </w:trPr>
              <w:tc>
                <w:tcPr>
                  <w:tcW w:w="3392" w:type="dxa"/>
                  <w:vAlign w:val="center"/>
                </w:tcPr>
                <w:p w:rsid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bookmarkStart w:id="0" w:name="_GoBack"/>
                  <w:r w:rsidRPr="009967F3">
                    <w:rPr>
                      <w:i/>
                      <w:noProof/>
                      <w:lang w:eastAsia="fr-FR" w:bidi="ar-SA"/>
                    </w:rPr>
                    <w:drawing>
                      <wp:inline distT="0" distB="0" distL="0" distR="0" wp14:anchorId="79155E9A" wp14:editId="43DB252B">
                        <wp:extent cx="1944000" cy="2252084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44000" cy="2252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Espace urbanisé 2011</w:t>
                  </w:r>
                </w:p>
              </w:tc>
              <w:tc>
                <w:tcPr>
                  <w:tcW w:w="3392" w:type="dxa"/>
                  <w:vAlign w:val="center"/>
                </w:tcPr>
                <w:p w:rsid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 w:rsidRPr="009967F3">
                    <w:rPr>
                      <w:i/>
                      <w:noProof/>
                      <w:lang w:eastAsia="fr-FR" w:bidi="ar-SA"/>
                    </w:rPr>
                    <w:drawing>
                      <wp:inline distT="0" distB="0" distL="0" distR="0" wp14:anchorId="492DB9C3" wp14:editId="7A3C5131">
                        <wp:extent cx="1944000" cy="2252084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44000" cy="2252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Espace urbanisé 2017</w:t>
                  </w:r>
                </w:p>
              </w:tc>
              <w:tc>
                <w:tcPr>
                  <w:tcW w:w="3344" w:type="dxa"/>
                  <w:vMerge w:val="restart"/>
                  <w:vAlign w:val="center"/>
                </w:tcPr>
                <w:p w:rsid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 w:rsidRPr="009967F3">
                    <w:rPr>
                      <w:i/>
                      <w:noProof/>
                      <w:lang w:eastAsia="fr-FR" w:bidi="ar-SA"/>
                    </w:rPr>
                    <w:drawing>
                      <wp:inline distT="0" distB="0" distL="0" distR="0" wp14:anchorId="7703BF75" wp14:editId="65D4D2AE">
                        <wp:extent cx="1980000" cy="2294288"/>
                        <wp:effectExtent l="0" t="0" r="1270" b="0"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80000" cy="22942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Densification : zone bâtie en vert, déjà inclues dans un espace urbanisé en 2011</w:t>
                  </w:r>
                </w:p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Extension : nouveaux espaces urbanisés en rouge, bâtiments et jardins compris</w:t>
                  </w:r>
                </w:p>
              </w:tc>
            </w:tr>
            <w:tr w:rsidR="009967F3" w:rsidRPr="009967F3" w:rsidTr="009967F3">
              <w:trPr>
                <w:jc w:val="center"/>
              </w:trPr>
              <w:tc>
                <w:tcPr>
                  <w:tcW w:w="3392" w:type="dxa"/>
                  <w:vAlign w:val="center"/>
                </w:tcPr>
                <w:p w:rsidR="009967F3" w:rsidRDefault="00391B5C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noProof/>
                      <w:lang w:eastAsia="fr-FR" w:bidi="ar-SA"/>
                    </w:rPr>
                    <w:drawing>
                      <wp:inline distT="0" distB="0" distL="0" distR="0" wp14:anchorId="6690C501" wp14:editId="5AE2AA60">
                        <wp:extent cx="1994400" cy="2455200"/>
                        <wp:effectExtent l="0" t="0" r="6350" b="254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4400" cy="2455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OCS GE 2011</w:t>
                  </w:r>
                </w:p>
              </w:tc>
              <w:tc>
                <w:tcPr>
                  <w:tcW w:w="3392" w:type="dxa"/>
                  <w:vAlign w:val="center"/>
                </w:tcPr>
                <w:p w:rsidR="009967F3" w:rsidRDefault="00391B5C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noProof/>
                      <w:lang w:eastAsia="fr-FR" w:bidi="ar-SA"/>
                    </w:rPr>
                    <w:drawing>
                      <wp:inline distT="0" distB="0" distL="0" distR="0" wp14:anchorId="5DAE7ACE" wp14:editId="09AA073C">
                        <wp:extent cx="1994400" cy="2455200"/>
                        <wp:effectExtent l="0" t="0" r="6350" b="2540"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4400" cy="2455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  <w:r>
                    <w:rPr>
                      <w:i/>
                      <w:color w:val="000000" w:themeColor="text1"/>
                    </w:rPr>
                    <w:t>OCS GE 2017</w:t>
                  </w:r>
                </w:p>
              </w:tc>
              <w:tc>
                <w:tcPr>
                  <w:tcW w:w="3344" w:type="dxa"/>
                  <w:vMerge/>
                  <w:vAlign w:val="center"/>
                </w:tcPr>
                <w:p w:rsidR="009967F3" w:rsidRPr="009967F3" w:rsidRDefault="009967F3" w:rsidP="009967F3">
                  <w:pPr>
                    <w:spacing w:before="120" w:after="120" w:line="240" w:lineRule="auto"/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</w:tr>
          </w:tbl>
          <w:p w:rsidR="00C54661" w:rsidRPr="004C6B74" w:rsidRDefault="00C54661" w:rsidP="00634B9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C54661" w:rsidRPr="009967F3" w:rsidRDefault="00C54661" w:rsidP="00634B96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9967F3">
              <w:rPr>
                <w:color w:val="000000" w:themeColor="text1"/>
              </w:rPr>
              <w:t>Toutes les nouvelles zones bâties en 2017/2018</w:t>
            </w:r>
            <w:r w:rsidR="009967F3" w:rsidRPr="009967F3">
              <w:rPr>
                <w:color w:val="000000" w:themeColor="text1"/>
              </w:rPr>
              <w:t xml:space="preserve">, </w:t>
            </w:r>
            <w:r w:rsidR="009967F3">
              <w:rPr>
                <w:color w:val="000000" w:themeColor="text1"/>
              </w:rPr>
              <w:t xml:space="preserve">les </w:t>
            </w:r>
            <w:r w:rsidRPr="009967F3">
              <w:rPr>
                <w:color w:val="000000" w:themeColor="text1"/>
              </w:rPr>
              <w:t>agrandissements des zones bâties déjà existantes en 2010/2011</w:t>
            </w:r>
          </w:p>
          <w:p w:rsidR="00C54661" w:rsidRDefault="00C54661" w:rsidP="00634B96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Pour l’extension, l’ensemble des nouveaux espaces urbanisés/enveloppe urbaine comme les nouveaux bâtiments, jardins, parcs.</w:t>
            </w:r>
          </w:p>
          <w:p w:rsidR="00C54661" w:rsidRPr="004C6B74" w:rsidRDefault="00C54661" w:rsidP="00634B9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C54661" w:rsidRDefault="00C54661" w:rsidP="00634B96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Pr="005F5C93">
              <w:rPr>
                <w:color w:val="000000" w:themeColor="text1"/>
              </w:rPr>
              <w:t>ensification par extension d’un bâtiment en hauteur ou par démolition puis construction d’un nouveau bâtiment pouvant accueillir plus de logement</w:t>
            </w:r>
          </w:p>
          <w:p w:rsidR="00C54661" w:rsidRPr="004C6B74" w:rsidRDefault="00C54661" w:rsidP="00634B96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Les espaces urbanisés de 2010/2011 qui sont classés dans un autre espace en 2017/2018</w:t>
            </w:r>
          </w:p>
        </w:tc>
      </w:tr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BD79F1" w:rsidP="00FB3173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Tous les polygones </w:t>
            </w:r>
            <w:r w:rsidR="00FB3173">
              <w:rPr>
                <w:color w:val="000000" w:themeColor="text1"/>
              </w:rPr>
              <w:t xml:space="preserve">situés à l’intérieur des espaces urbanisés </w:t>
            </w:r>
            <w:r>
              <w:rPr>
                <w:color w:val="000000" w:themeColor="text1"/>
              </w:rPr>
              <w:t xml:space="preserve">qui ont </w:t>
            </w:r>
            <w:r w:rsidR="00786DEE">
              <w:rPr>
                <w:color w:val="000000" w:themeColor="text1"/>
              </w:rPr>
              <w:t>une couverture zone bâtie en 2017/2018</w:t>
            </w:r>
            <w:r w:rsidR="00C168F0">
              <w:rPr>
                <w:color w:val="000000" w:themeColor="text1"/>
              </w:rPr>
              <w:t xml:space="preserve"> et une couverture</w:t>
            </w:r>
            <w:r w:rsidR="00786DEE">
              <w:rPr>
                <w:color w:val="000000" w:themeColor="text1"/>
              </w:rPr>
              <w:t xml:space="preserve"> autre que zone bâtie en 2010/2011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 xml:space="preserve">pour les </w:t>
            </w:r>
            <w:r w:rsidR="00BD79F1">
              <w:rPr>
                <w:color w:val="000000" w:themeColor="text1"/>
              </w:rPr>
              <w:t>évolutions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BD79F1" w:rsidP="00FB3173">
            <w:pPr>
              <w:pStyle w:val="Paragraphedeliste"/>
              <w:numPr>
                <w:ilvl w:val="0"/>
                <w:numId w:val="33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 nouveaux espaces urbanisés en fonction du critère densification et extension</w:t>
            </w:r>
          </w:p>
          <w:p w:rsidR="000A7545" w:rsidRPr="00B1291A" w:rsidRDefault="000A7545" w:rsidP="00BD79F1">
            <w:pPr>
              <w:pStyle w:val="Paragraphedeliste"/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rapport à l’ensemble des espaces urbanisés</w:t>
            </w:r>
            <w:r w:rsidR="00C71A57">
              <w:rPr>
                <w:color w:val="000000" w:themeColor="text1"/>
              </w:rPr>
              <w:t>/enveloppe urbaine</w:t>
            </w:r>
            <w:r w:rsidRPr="0041465E">
              <w:rPr>
                <w:color w:val="000000" w:themeColor="text1"/>
              </w:rPr>
              <w:t xml:space="preserve"> </w:t>
            </w:r>
            <w:r w:rsidR="00BD79F1">
              <w:rPr>
                <w:color w:val="000000" w:themeColor="text1"/>
              </w:rPr>
              <w:t>des millésimes 2010/2011</w:t>
            </w:r>
            <w:r w:rsidR="00064224">
              <w:rPr>
                <w:color w:val="000000" w:themeColor="text1"/>
              </w:rPr>
              <w:t>.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DD03E7" w:rsidRPr="002E0E4C" w:rsidRDefault="00F60175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commentRangeStart w:id="1"/>
            <w:r w:rsidRPr="00BA0B0A">
              <w:rPr>
                <w:i/>
                <w:color w:val="000000" w:themeColor="text1"/>
              </w:rPr>
              <w:t xml:space="preserve">Exemple de </w:t>
            </w:r>
            <w:r w:rsidR="003C0E9F">
              <w:rPr>
                <w:i/>
                <w:color w:val="000000" w:themeColor="text1"/>
              </w:rPr>
              <w:t>résultats sur 20% de la Nièvre (chiffres non définitif</w:t>
            </w:r>
            <w:r w:rsidR="0045683C">
              <w:rPr>
                <w:i/>
                <w:color w:val="000000" w:themeColor="text1"/>
              </w:rPr>
              <w:t>s</w:t>
            </w:r>
            <w:commentRangeEnd w:id="1"/>
            <w:r w:rsidR="005470B4">
              <w:rPr>
                <w:rStyle w:val="Marquedecommentaire"/>
              </w:rPr>
              <w:commentReference w:id="1"/>
            </w:r>
          </w:p>
          <w:tbl>
            <w:tblPr>
              <w:tblW w:w="65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14"/>
              <w:gridCol w:w="1580"/>
              <w:gridCol w:w="1580"/>
            </w:tblGrid>
            <w:tr w:rsidR="003C0E9F" w:rsidRPr="003C0E9F" w:rsidTr="009A308E">
              <w:trPr>
                <w:trHeight w:val="255"/>
                <w:jc w:val="center"/>
              </w:trPr>
              <w:tc>
                <w:tcPr>
                  <w:tcW w:w="3414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totale</w:t>
                  </w:r>
                </w:p>
              </w:tc>
              <w:tc>
                <w:tcPr>
                  <w:tcW w:w="1580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127 488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 w:val="restart"/>
                  <w:shd w:val="clear" w:color="auto" w:fill="FABF8F" w:themeFill="accent6" w:themeFillTint="99"/>
                  <w:noWrap/>
                  <w:vAlign w:val="center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r</w:t>
                  </w: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face 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r</w:t>
                  </w: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banisée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8 345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8 469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Evolution de l'espace urbanisé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densification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30,15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extension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15,96 Ha</w:t>
                  </w:r>
                </w:p>
              </w:tc>
            </w:tr>
          </w:tbl>
          <w:p w:rsidR="00F60175" w:rsidRDefault="00F6017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184F40" w:rsidRDefault="00184F40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  <w:p w:rsidR="00184F40" w:rsidRPr="00184F40" w:rsidRDefault="00184F40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5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Christel Marquet" w:date="2020-08-10T11:08:00Z" w:initials="CM">
    <w:p w:rsidR="005470B4" w:rsidRDefault="005470B4">
      <w:pPr>
        <w:pStyle w:val="Commentaire"/>
      </w:pPr>
      <w:r>
        <w:rPr>
          <w:rStyle w:val="Marquedecommentaire"/>
        </w:rPr>
        <w:annotationRef/>
      </w:r>
      <w:r>
        <w:t xml:space="preserve">Quand données dispo sur les 2 millésimes, test à faire avec une représentation </w:t>
      </w:r>
      <w:proofErr w:type="spellStart"/>
      <w:r>
        <w:t>carto</w:t>
      </w:r>
      <w:proofErr w:type="spellEnd"/>
      <w:r>
        <w:t> :</w:t>
      </w:r>
    </w:p>
    <w:p w:rsidR="005470B4" w:rsidRDefault="005470B4" w:rsidP="005470B4">
      <w:pPr>
        <w:pStyle w:val="Commentaire"/>
        <w:numPr>
          <w:ilvl w:val="0"/>
          <w:numId w:val="36"/>
        </w:numPr>
      </w:pPr>
      <w:r>
        <w:t>Un cercle pour superficie espace urbanisé ou superficie des nouveaux espaces urbanisés</w:t>
      </w:r>
    </w:p>
    <w:p w:rsidR="005470B4" w:rsidRDefault="005470B4" w:rsidP="005470B4">
      <w:pPr>
        <w:pStyle w:val="Commentaire"/>
        <w:numPr>
          <w:ilvl w:val="0"/>
          <w:numId w:val="36"/>
        </w:numPr>
      </w:pPr>
      <w:r>
        <w:t>% entre densification et extension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B56" w:rsidRDefault="00886B56" w:rsidP="0062457C">
      <w:pPr>
        <w:spacing w:after="0" w:line="240" w:lineRule="auto"/>
      </w:pPr>
      <w:r>
        <w:separator/>
      </w:r>
    </w:p>
  </w:endnote>
  <w:endnote w:type="continuationSeparator" w:id="0">
    <w:p w:rsidR="00886B56" w:rsidRDefault="00886B56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B56" w:rsidRDefault="00886B56" w:rsidP="0062457C">
      <w:pPr>
        <w:spacing w:after="0" w:line="240" w:lineRule="auto"/>
      </w:pPr>
      <w:r>
        <w:separator/>
      </w:r>
    </w:p>
  </w:footnote>
  <w:footnote w:type="continuationSeparator" w:id="0">
    <w:p w:rsidR="00886B56" w:rsidRDefault="00886B56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BC2700">
                            <w:rPr>
                              <w:iCs/>
                              <w:color w:val="000000" w:themeColor="text1"/>
                            </w:rPr>
                            <w:t>03</w:t>
                          </w:r>
                        </w:p>
                        <w:p w:rsidR="0062457C" w:rsidRPr="00D22C3F" w:rsidRDefault="00D82ACD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161D78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4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161D78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BC2700">
                      <w:rPr>
                        <w:iCs/>
                        <w:color w:val="000000" w:themeColor="text1"/>
                      </w:rPr>
                      <w:t>03</w:t>
                    </w:r>
                  </w:p>
                  <w:p w:rsidR="0062457C" w:rsidRPr="00D22C3F" w:rsidRDefault="00D82ACD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161D78">
                      <w:rPr>
                        <w:i/>
                        <w:iCs/>
                        <w:color w:val="808080" w:themeColor="background1" w:themeShade="80"/>
                      </w:rPr>
                      <w:t>4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161D78"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1D613CD"/>
    <w:multiLevelType w:val="hybridMultilevel"/>
    <w:tmpl w:val="08169CBC"/>
    <w:lvl w:ilvl="0" w:tplc="AE022800">
      <w:start w:val="1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6CC2244"/>
    <w:multiLevelType w:val="hybridMultilevel"/>
    <w:tmpl w:val="353A6F36"/>
    <w:lvl w:ilvl="0" w:tplc="CC7C6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D770D"/>
    <w:multiLevelType w:val="hybridMultilevel"/>
    <w:tmpl w:val="EF74E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CB44E3"/>
    <w:multiLevelType w:val="hybridMultilevel"/>
    <w:tmpl w:val="200CD8C0"/>
    <w:lvl w:ilvl="0" w:tplc="94AAD878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5"/>
  </w:num>
  <w:num w:numId="25">
    <w:abstractNumId w:val="11"/>
  </w:num>
  <w:num w:numId="26">
    <w:abstractNumId w:val="12"/>
  </w:num>
  <w:num w:numId="27">
    <w:abstractNumId w:val="10"/>
  </w:num>
  <w:num w:numId="28">
    <w:abstractNumId w:val="2"/>
  </w:num>
  <w:num w:numId="29">
    <w:abstractNumId w:val="17"/>
  </w:num>
  <w:num w:numId="30">
    <w:abstractNumId w:val="9"/>
  </w:num>
  <w:num w:numId="31">
    <w:abstractNumId w:val="1"/>
  </w:num>
  <w:num w:numId="32">
    <w:abstractNumId w:val="7"/>
  </w:num>
  <w:num w:numId="33">
    <w:abstractNumId w:val="4"/>
  </w:num>
  <w:num w:numId="34">
    <w:abstractNumId w:val="13"/>
  </w:num>
  <w:num w:numId="35">
    <w:abstractNumId w:val="14"/>
  </w:num>
  <w:num w:numId="36">
    <w:abstractNumId w:val="3"/>
  </w:num>
  <w:num w:numId="37">
    <w:abstractNumId w:val="16"/>
  </w:num>
  <w:num w:numId="38">
    <w:abstractNumId w:val="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304A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2C4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3B0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C1FB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5E31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4C9C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1D78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56F"/>
    <w:rsid w:val="00183A14"/>
    <w:rsid w:val="00183FB9"/>
    <w:rsid w:val="001842EB"/>
    <w:rsid w:val="00184F40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C7C66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08C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288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685D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4EB6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1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1B5C"/>
    <w:rsid w:val="0039343E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E62"/>
    <w:rsid w:val="003C0E9F"/>
    <w:rsid w:val="003C0FDF"/>
    <w:rsid w:val="003C10E1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67E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3BCC"/>
    <w:rsid w:val="0040454A"/>
    <w:rsid w:val="00404D8F"/>
    <w:rsid w:val="00405127"/>
    <w:rsid w:val="00405C1D"/>
    <w:rsid w:val="00406CC3"/>
    <w:rsid w:val="00406F18"/>
    <w:rsid w:val="004071BC"/>
    <w:rsid w:val="00407859"/>
    <w:rsid w:val="00410B90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83C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4A8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0B4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5C93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164A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266F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7C3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661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57166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DEE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A6CAD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5FCA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18B7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47A2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6B56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558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34BAD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4C3D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93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7F3"/>
    <w:rsid w:val="00996876"/>
    <w:rsid w:val="009A045F"/>
    <w:rsid w:val="009A1124"/>
    <w:rsid w:val="009A184F"/>
    <w:rsid w:val="009A19A6"/>
    <w:rsid w:val="009A2AE5"/>
    <w:rsid w:val="009A308E"/>
    <w:rsid w:val="009A36AE"/>
    <w:rsid w:val="009A505E"/>
    <w:rsid w:val="009A5F2C"/>
    <w:rsid w:val="009A62B1"/>
    <w:rsid w:val="009A6C79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C7C18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6DBF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1905"/>
    <w:rsid w:val="00B1291A"/>
    <w:rsid w:val="00B134B8"/>
    <w:rsid w:val="00B13655"/>
    <w:rsid w:val="00B13AC0"/>
    <w:rsid w:val="00B146FA"/>
    <w:rsid w:val="00B14B7F"/>
    <w:rsid w:val="00B15407"/>
    <w:rsid w:val="00B15838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3529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68F0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4661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1A57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2ACD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38D7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C7F55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3FAB"/>
    <w:rsid w:val="00E6534E"/>
    <w:rsid w:val="00E65407"/>
    <w:rsid w:val="00E66314"/>
    <w:rsid w:val="00E6758A"/>
    <w:rsid w:val="00E67E3F"/>
    <w:rsid w:val="00E70465"/>
    <w:rsid w:val="00E70BCD"/>
    <w:rsid w:val="00E71457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3173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C73F3"/>
    <w:rsid w:val="00FD15A4"/>
    <w:rsid w:val="00FD193C"/>
    <w:rsid w:val="00FD1D9B"/>
    <w:rsid w:val="00FD2D1F"/>
    <w:rsid w:val="00FD2E82"/>
    <w:rsid w:val="00FD36C8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FFB39-CD5F-42FA-A6EE-6A4F88DB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34</cp:revision>
  <dcterms:created xsi:type="dcterms:W3CDTF">2020-08-07T12:22:00Z</dcterms:created>
  <dcterms:modified xsi:type="dcterms:W3CDTF">2021-09-10T12:49:00Z</dcterms:modified>
</cp:coreProperties>
</file>